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CPWF06GP79TQ05HGRKR8YL0S7ZC0OSYRES06WJDBXGH8TFWTZ0BRICJTFSVHPDRRXNMX5OLSZI7D8LXJQFFADF8C89D0WHWBBJOO0HB34ECDA47BF96F758BC703FA1CB16D5027" Type="http://schemas.microsoft.com/office/2006/relationships/officeDocumentMain" Target="docProps/core.xml"/><Relationship Id="CYWM06BV7RSA00HGRKR80L0C7N8MOAPREX06NJDTXFGRTQ5T6DBRQCJFFS6TPC8RAUMXHOLKZI7D8IJJRUFTVFFW89Q0WMLB8SODDHB356037A47805716665E6DC81FC0B0774D"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0"/>
        <w:rPr>
          <w:rFonts w:hint="default" w:eastAsia="宋体"/>
          <w:highlight w:val="none"/>
          <w:lang w:val="en-US" w:eastAsia="zh-CN"/>
        </w:rPr>
      </w:pPr>
      <w:r>
        <w:rPr>
          <w:rFonts w:hint="eastAsia"/>
          <w:highlight w:val="none"/>
          <w:lang w:eastAsia="zh-CN"/>
        </w:rPr>
        <w:t>编号：</w:t>
      </w:r>
      <w:r>
        <w:rPr>
          <w:rFonts w:hint="eastAsia"/>
          <w:highlight w:val="none"/>
          <w:lang w:val="en-US" w:eastAsia="zh-CN"/>
        </w:rPr>
        <w:t>TGXY20240625</w:t>
      </w:r>
    </w:p>
    <w:p>
      <w:pPr>
        <w:jc w:val="center"/>
        <w:rPr>
          <w:sz w:val="36"/>
          <w:szCs w:val="36"/>
          <w:highlight w:val="none"/>
        </w:rPr>
      </w:pPr>
      <w:r>
        <w:rPr>
          <w:rFonts w:hint="eastAsia"/>
          <w:sz w:val="36"/>
          <w:szCs w:val="36"/>
          <w:highlight w:val="none"/>
        </w:rPr>
        <w:t>恒丰理财理财产品托管协议</w:t>
      </w: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spacing w:line="360" w:lineRule="auto"/>
        <w:jc w:val="center"/>
        <w:rPr>
          <w:rFonts w:ascii="宋体" w:hAnsi="宋体" w:cs="宋体"/>
          <w:sz w:val="24"/>
          <w:highlight w:val="none"/>
        </w:rPr>
      </w:pPr>
      <w:r>
        <w:rPr>
          <w:rFonts w:hint="eastAsia" w:ascii="宋体" w:hAnsi="宋体" w:cs="宋体"/>
          <w:sz w:val="24"/>
          <w:highlight w:val="none"/>
        </w:rPr>
        <w:t>管理人:</w:t>
      </w:r>
      <w:r>
        <w:rPr>
          <w:rFonts w:hint="eastAsia"/>
          <w:sz w:val="24"/>
          <w:highlight w:val="none"/>
        </w:rPr>
        <w:t xml:space="preserve"> 恒丰理财有限责任公司</w:t>
      </w:r>
    </w:p>
    <w:p>
      <w:pPr>
        <w:spacing w:line="360" w:lineRule="auto"/>
        <w:jc w:val="center"/>
        <w:rPr>
          <w:rFonts w:ascii="宋体" w:hAnsi="宋体" w:cs="宋体"/>
          <w:sz w:val="24"/>
          <w:highlight w:val="none"/>
        </w:rPr>
      </w:pPr>
      <w:r>
        <w:rPr>
          <w:rFonts w:hint="eastAsia" w:ascii="宋体" w:hAnsi="宋体" w:cs="宋体"/>
          <w:sz w:val="24"/>
          <w:highlight w:val="none"/>
        </w:rPr>
        <w:t>托管人:</w:t>
      </w:r>
      <w:r>
        <w:rPr>
          <w:rFonts w:ascii="宋体" w:hAnsi="宋体" w:cs="宋体"/>
          <w:sz w:val="24"/>
          <w:highlight w:val="none"/>
        </w:rPr>
        <w:t xml:space="preserve"> </w:t>
      </w:r>
      <w:r>
        <w:rPr>
          <w:rFonts w:hint="eastAsia" w:ascii="宋体" w:hAnsi="宋体" w:cs="宋体"/>
          <w:sz w:val="24"/>
          <w:highlight w:val="none"/>
        </w:rPr>
        <w:t>中国民生银行股份</w:t>
      </w:r>
      <w:r>
        <w:rPr>
          <w:rFonts w:ascii="宋体" w:hAnsi="宋体" w:cs="宋体"/>
          <w:sz w:val="24"/>
          <w:highlight w:val="none"/>
        </w:rPr>
        <w:t>有限公司</w:t>
      </w:r>
    </w:p>
    <w:p>
      <w:pPr>
        <w:spacing w:line="360" w:lineRule="auto"/>
        <w:jc w:val="center"/>
        <w:rPr>
          <w:rFonts w:ascii="宋体" w:hAnsi="宋体" w:cs="宋体"/>
          <w:sz w:val="24"/>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2"/>
        <w:rPr>
          <w:highlight w:val="none"/>
        </w:rPr>
      </w:pPr>
    </w:p>
    <w:p>
      <w:pPr>
        <w:pStyle w:val="2"/>
        <w:rPr>
          <w:highlight w:val="none"/>
        </w:rPr>
      </w:pPr>
    </w:p>
    <w:p>
      <w:pPr>
        <w:pStyle w:val="2"/>
        <w:rPr>
          <w:highlight w:val="none"/>
        </w:rPr>
      </w:pPr>
    </w:p>
    <w:p>
      <w:pPr>
        <w:pStyle w:val="6"/>
        <w:ind w:firstLine="420"/>
        <w:rPr>
          <w:highlight w:val="none"/>
        </w:rPr>
      </w:pPr>
    </w:p>
    <w:p>
      <w:pPr>
        <w:pStyle w:val="6"/>
        <w:ind w:firstLine="420"/>
        <w:rPr>
          <w:highlight w:val="none"/>
        </w:rPr>
      </w:pPr>
    </w:p>
    <w:p>
      <w:pPr>
        <w:pStyle w:val="6"/>
        <w:ind w:firstLine="0"/>
        <w:rPr>
          <w:highlight w:val="none"/>
        </w:rPr>
      </w:pPr>
    </w:p>
    <w:p>
      <w:pPr>
        <w:spacing w:line="360" w:lineRule="auto"/>
        <w:rPr>
          <w:sz w:val="24"/>
          <w:highlight w:val="none"/>
        </w:rPr>
      </w:pPr>
      <w:r>
        <w:rPr>
          <w:rFonts w:hint="eastAsia"/>
          <w:b/>
          <w:bCs/>
          <w:sz w:val="28"/>
          <w:szCs w:val="28"/>
          <w:highlight w:val="none"/>
        </w:rPr>
        <w:t>释义</w:t>
      </w:r>
    </w:p>
    <w:p>
      <w:pPr>
        <w:spacing w:line="360" w:lineRule="auto"/>
        <w:rPr>
          <w:sz w:val="24"/>
          <w:highlight w:val="none"/>
        </w:rPr>
      </w:pPr>
      <w:r>
        <w:rPr>
          <w:rFonts w:hint="eastAsia"/>
          <w:sz w:val="24"/>
          <w:highlight w:val="none"/>
        </w:rPr>
        <w:t>1、恒丰理财产品：指恒丰理财有限责任公司作为管理机构发起设立，按照与客户约定的方式和投资范围等对客户委托的资金进行投资、运作、管理的特殊目的载体。理财产品财产独立于管理人和托管人的固有财产，独立开户，单独管理、建账和核算。</w:t>
      </w:r>
    </w:p>
    <w:p>
      <w:pPr>
        <w:spacing w:line="360" w:lineRule="auto"/>
        <w:rPr>
          <w:sz w:val="24"/>
          <w:highlight w:val="none"/>
        </w:rPr>
      </w:pPr>
      <w:r>
        <w:rPr>
          <w:rFonts w:hint="eastAsia"/>
          <w:sz w:val="24"/>
          <w:highlight w:val="none"/>
        </w:rPr>
        <w:t>2、单个理财产品：指恒丰理财发起设立并在乙方托管的单个理财产品，具体产品信息以单个理财产品的《产品说明书》为准。</w:t>
      </w:r>
    </w:p>
    <w:p>
      <w:pPr>
        <w:spacing w:line="360" w:lineRule="auto"/>
        <w:rPr>
          <w:sz w:val="24"/>
          <w:highlight w:val="none"/>
        </w:rPr>
      </w:pPr>
      <w:r>
        <w:rPr>
          <w:rFonts w:hint="eastAsia"/>
          <w:sz w:val="24"/>
          <w:highlight w:val="none"/>
        </w:rPr>
        <w:t>3、受托管理资产：理财产品的资产总值，包括所拥有的各类有价证券、银行存款本息及其他资产的价值总和。理财产品资产净值是指资产总额减去负债总额后的价值。</w:t>
      </w:r>
    </w:p>
    <w:p>
      <w:pPr>
        <w:spacing w:line="360" w:lineRule="auto"/>
        <w:rPr>
          <w:sz w:val="24"/>
          <w:highlight w:val="none"/>
        </w:rPr>
      </w:pPr>
      <w:r>
        <w:rPr>
          <w:rFonts w:hint="eastAsia"/>
          <w:sz w:val="24"/>
          <w:highlight w:val="none"/>
        </w:rPr>
        <w:t>4、工作日：除法定节假日和休息日（以国务院公布为准）以外的中国的银行工</w:t>
      </w:r>
    </w:p>
    <w:p>
      <w:pPr>
        <w:spacing w:line="360" w:lineRule="auto"/>
        <w:rPr>
          <w:sz w:val="24"/>
          <w:highlight w:val="none"/>
        </w:rPr>
      </w:pPr>
      <w:r>
        <w:rPr>
          <w:rFonts w:hint="eastAsia"/>
          <w:sz w:val="24"/>
          <w:highlight w:val="none"/>
        </w:rPr>
        <w:t>作日。</w:t>
      </w:r>
    </w:p>
    <w:p>
      <w:pPr>
        <w:spacing w:line="360" w:lineRule="auto"/>
        <w:rPr>
          <w:sz w:val="24"/>
          <w:highlight w:val="none"/>
        </w:rPr>
      </w:pPr>
      <w:r>
        <w:rPr>
          <w:rFonts w:hint="eastAsia"/>
          <w:sz w:val="24"/>
          <w:highlight w:val="none"/>
        </w:rPr>
        <w:t>5、托管协议：指托管人与管理人签订的《恒丰理财理财产品托管协议》，即本协议。</w:t>
      </w:r>
    </w:p>
    <w:p>
      <w:pPr>
        <w:spacing w:line="360" w:lineRule="auto"/>
        <w:rPr>
          <w:sz w:val="24"/>
          <w:highlight w:val="none"/>
        </w:rPr>
      </w:pPr>
      <w:r>
        <w:rPr>
          <w:rFonts w:hint="eastAsia"/>
          <w:sz w:val="24"/>
          <w:highlight w:val="none"/>
        </w:rPr>
        <w:t>6、理财产品份额总数：指理财产品项下份额的总数量。</w:t>
      </w:r>
    </w:p>
    <w:p>
      <w:pPr>
        <w:spacing w:line="360" w:lineRule="auto"/>
        <w:rPr>
          <w:sz w:val="24"/>
          <w:highlight w:val="none"/>
        </w:rPr>
      </w:pPr>
      <w:r>
        <w:rPr>
          <w:rFonts w:hint="eastAsia"/>
          <w:sz w:val="24"/>
          <w:highlight w:val="none"/>
        </w:rPr>
        <w:t>7、理财产品单位净值：理财产品单位净值=（理财产品资产总值－理财产品负债总额）÷理财产品存续份额总数。</w:t>
      </w:r>
    </w:p>
    <w:p>
      <w:pPr>
        <w:spacing w:line="360" w:lineRule="auto"/>
        <w:rPr>
          <w:sz w:val="24"/>
          <w:highlight w:val="none"/>
        </w:rPr>
      </w:pPr>
      <w:r>
        <w:rPr>
          <w:rFonts w:hint="eastAsia"/>
          <w:sz w:val="24"/>
          <w:highlight w:val="none"/>
        </w:rPr>
        <w:t>8、理财产品文件：指本理财产品的《投资协议书》、《代理销售协议书》、《产品说明书》、《风险揭示书》、《投资者权益须知》等。</w:t>
      </w:r>
    </w:p>
    <w:p>
      <w:pPr>
        <w:spacing w:line="360" w:lineRule="auto"/>
        <w:rPr>
          <w:sz w:val="24"/>
          <w:highlight w:val="none"/>
        </w:rPr>
      </w:pPr>
      <w:r>
        <w:rPr>
          <w:rFonts w:hint="eastAsia"/>
          <w:sz w:val="24"/>
          <w:highlight w:val="none"/>
        </w:rPr>
        <w:t>9、交易文件：指除理财产品文件、托管协议及其补充协议外，管理人与交易对手签订的理财产品的其他法律文件。</w:t>
      </w:r>
    </w:p>
    <w:p>
      <w:pPr>
        <w:spacing w:line="360" w:lineRule="auto"/>
        <w:rPr>
          <w:sz w:val="24"/>
          <w:highlight w:val="none"/>
        </w:rPr>
      </w:pPr>
      <w:r>
        <w:rPr>
          <w:rFonts w:hint="eastAsia"/>
          <w:sz w:val="24"/>
          <w:highlight w:val="none"/>
        </w:rPr>
        <w:t>10、银行托管账户或托管账户：指管理人在托管人指定营业机构开立的理财财产账户。</w:t>
      </w:r>
    </w:p>
    <w:p>
      <w:pPr>
        <w:spacing w:line="360" w:lineRule="auto"/>
        <w:rPr>
          <w:sz w:val="24"/>
          <w:highlight w:val="none"/>
        </w:rPr>
      </w:pPr>
      <w:r>
        <w:rPr>
          <w:rFonts w:hint="eastAsia"/>
          <w:sz w:val="24"/>
          <w:highlight w:val="none"/>
        </w:rPr>
        <w:t>11、估值基准日：指管理人计算理财产品单位净值的日期，也称估值日。关于估值基准日的具体条款参见理财产品文件。</w:t>
      </w:r>
    </w:p>
    <w:p>
      <w:pPr>
        <w:spacing w:line="360" w:lineRule="auto"/>
        <w:rPr>
          <w:sz w:val="24"/>
          <w:highlight w:val="none"/>
        </w:rPr>
      </w:pPr>
      <w:r>
        <w:rPr>
          <w:rFonts w:hint="eastAsia"/>
          <w:sz w:val="24"/>
          <w:highlight w:val="none"/>
        </w:rPr>
        <w:t>12、银行间交易：指银行间现券买卖、债券质押式回购、债券买断式回购、债券远期、债券借贷等。</w:t>
      </w:r>
    </w:p>
    <w:p>
      <w:pPr>
        <w:spacing w:line="360" w:lineRule="auto"/>
        <w:rPr>
          <w:sz w:val="24"/>
          <w:highlight w:val="none"/>
        </w:rPr>
      </w:pPr>
      <w:r>
        <w:rPr>
          <w:rFonts w:hint="eastAsia"/>
          <w:sz w:val="24"/>
          <w:highlight w:val="none"/>
        </w:rPr>
        <w:t>13、中国境内：指中华人民共和国境内；本协议指的中国境内，不包括香港、澳门及台湾地区。</w:t>
      </w:r>
    </w:p>
    <w:p>
      <w:pPr>
        <w:spacing w:line="360" w:lineRule="auto"/>
        <w:rPr>
          <w:sz w:val="24"/>
          <w:highlight w:val="none"/>
        </w:rPr>
      </w:pPr>
      <w:r>
        <w:rPr>
          <w:rFonts w:hint="eastAsia"/>
          <w:sz w:val="24"/>
          <w:highlight w:val="none"/>
        </w:rPr>
        <w:t>14、法律法规：指中华人民共和国现行有效并公布实施的法律、行政法规、规章、司法解释以及监管部门的决定、通知等规范性法律文件。</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ind w:firstLine="709"/>
        <w:jc w:val="left"/>
        <w:rPr>
          <w:highlight w:val="none"/>
        </w:rPr>
      </w:pPr>
    </w:p>
    <w:p>
      <w:pPr>
        <w:spacing w:line="360" w:lineRule="auto"/>
        <w:jc w:val="center"/>
        <w:rPr>
          <w:b/>
          <w:bCs/>
          <w:sz w:val="28"/>
          <w:szCs w:val="28"/>
          <w:highlight w:val="none"/>
        </w:rPr>
      </w:pPr>
    </w:p>
    <w:p>
      <w:pPr>
        <w:spacing w:line="360" w:lineRule="auto"/>
        <w:jc w:val="center"/>
        <w:rPr>
          <w:b/>
          <w:bCs/>
          <w:sz w:val="28"/>
          <w:szCs w:val="28"/>
          <w:highlight w:val="none"/>
        </w:rPr>
      </w:pPr>
    </w:p>
    <w:p>
      <w:pPr>
        <w:spacing w:line="360" w:lineRule="auto"/>
        <w:jc w:val="center"/>
        <w:rPr>
          <w:b/>
          <w:bCs/>
          <w:sz w:val="28"/>
          <w:szCs w:val="28"/>
          <w:highlight w:val="none"/>
        </w:rPr>
      </w:pPr>
      <w:r>
        <w:rPr>
          <w:rFonts w:hint="eastAsia"/>
          <w:b/>
          <w:bCs/>
          <w:sz w:val="28"/>
          <w:szCs w:val="28"/>
          <w:highlight w:val="none"/>
        </w:rPr>
        <w:t>目录</w:t>
      </w:r>
    </w:p>
    <w:p>
      <w:pPr>
        <w:pStyle w:val="21"/>
        <w:tabs>
          <w:tab w:val="left" w:pos="840"/>
          <w:tab w:val="right" w:leader="dot" w:pos="8296"/>
        </w:tabs>
        <w:rPr>
          <w:szCs w:val="22"/>
          <w:highlight w:val="none"/>
        </w:rPr>
      </w:pPr>
      <w:r>
        <w:rPr>
          <w:rFonts w:hint="eastAsia" w:ascii="宋体" w:hAnsi="宋体" w:cs="宋体"/>
          <w:sz w:val="24"/>
          <w:highlight w:val="none"/>
        </w:rPr>
        <w:fldChar w:fldCharType="begin"/>
      </w:r>
      <w:r>
        <w:rPr>
          <w:rFonts w:ascii="宋体" w:hAnsi="宋体" w:cs="宋体"/>
          <w:sz w:val="24"/>
          <w:highlight w:val="none"/>
        </w:rPr>
        <w:instrText xml:space="preserve">TOC \o "1-1" \h \u </w:instrText>
      </w:r>
      <w:r>
        <w:rPr>
          <w:rFonts w:hint="eastAsia" w:ascii="宋体" w:hAnsi="宋体" w:cs="宋体"/>
          <w:sz w:val="24"/>
          <w:highlight w:val="none"/>
        </w:rPr>
        <w:fldChar w:fldCharType="separate"/>
      </w:r>
      <w:r>
        <w:rPr>
          <w:highlight w:val="none"/>
        </w:rPr>
        <w:fldChar w:fldCharType="begin"/>
      </w:r>
      <w:r>
        <w:rPr>
          <w:highlight w:val="none"/>
        </w:rPr>
        <w:instrText xml:space="preserve"> HYPERLINK \l "_Toc127449893" </w:instrText>
      </w:r>
      <w:r>
        <w:rPr>
          <w:highlight w:val="none"/>
        </w:rPr>
        <w:fldChar w:fldCharType="separate"/>
      </w:r>
      <w:r>
        <w:rPr>
          <w:rStyle w:val="35"/>
          <w:highlight w:val="none"/>
        </w:rPr>
        <w:t>一、</w:t>
      </w:r>
      <w:r>
        <w:rPr>
          <w:szCs w:val="22"/>
          <w:highlight w:val="none"/>
        </w:rPr>
        <w:tab/>
      </w:r>
      <w:r>
        <w:rPr>
          <w:rStyle w:val="35"/>
          <w:highlight w:val="none"/>
        </w:rPr>
        <w:t>托管协议当事人</w:t>
      </w:r>
      <w:r>
        <w:rPr>
          <w:highlight w:val="none"/>
        </w:rPr>
        <w:tab/>
      </w:r>
      <w:r>
        <w:rPr>
          <w:highlight w:val="none"/>
        </w:rPr>
        <w:fldChar w:fldCharType="begin"/>
      </w:r>
      <w:r>
        <w:rPr>
          <w:highlight w:val="none"/>
        </w:rPr>
        <w:instrText xml:space="preserve"> PAGEREF _Toc127449893 \h </w:instrText>
      </w:r>
      <w:r>
        <w:rPr>
          <w:highlight w:val="none"/>
        </w:rPr>
        <w:fldChar w:fldCharType="separate"/>
      </w:r>
      <w:r>
        <w:rPr>
          <w:highlight w:val="none"/>
        </w:rPr>
        <w:t>4</w:t>
      </w:r>
      <w:r>
        <w:rPr>
          <w:highlight w:val="none"/>
        </w:rPr>
        <w:fldChar w:fldCharType="end"/>
      </w:r>
      <w:r>
        <w:rPr>
          <w:highlight w:val="none"/>
        </w:rPr>
        <w:fldChar w:fldCharType="end"/>
      </w:r>
    </w:p>
    <w:p>
      <w:pPr>
        <w:pStyle w:val="21"/>
        <w:tabs>
          <w:tab w:val="left" w:pos="840"/>
          <w:tab w:val="right" w:leader="dot" w:pos="8296"/>
        </w:tabs>
        <w:rPr>
          <w:szCs w:val="22"/>
          <w:highlight w:val="none"/>
        </w:rPr>
      </w:pPr>
      <w:r>
        <w:rPr>
          <w:highlight w:val="none"/>
        </w:rPr>
        <w:fldChar w:fldCharType="begin"/>
      </w:r>
      <w:r>
        <w:rPr>
          <w:highlight w:val="none"/>
        </w:rPr>
        <w:instrText xml:space="preserve"> HYPERLINK \l "_Toc127449894" </w:instrText>
      </w:r>
      <w:r>
        <w:rPr>
          <w:highlight w:val="none"/>
        </w:rPr>
        <w:fldChar w:fldCharType="separate"/>
      </w:r>
      <w:r>
        <w:rPr>
          <w:rStyle w:val="35"/>
          <w:highlight w:val="none"/>
        </w:rPr>
        <w:t>二、</w:t>
      </w:r>
      <w:r>
        <w:rPr>
          <w:szCs w:val="22"/>
          <w:highlight w:val="none"/>
        </w:rPr>
        <w:tab/>
      </w:r>
      <w:r>
        <w:rPr>
          <w:rStyle w:val="35"/>
          <w:highlight w:val="none"/>
        </w:rPr>
        <w:t>订立本协议的依据、目的和原则</w:t>
      </w:r>
      <w:r>
        <w:rPr>
          <w:highlight w:val="none"/>
        </w:rPr>
        <w:tab/>
      </w:r>
      <w:r>
        <w:rPr>
          <w:highlight w:val="none"/>
        </w:rPr>
        <w:fldChar w:fldCharType="begin"/>
      </w:r>
      <w:r>
        <w:rPr>
          <w:highlight w:val="none"/>
        </w:rPr>
        <w:instrText xml:space="preserve"> PAGEREF _Toc127449894 \h </w:instrText>
      </w:r>
      <w:r>
        <w:rPr>
          <w:highlight w:val="none"/>
        </w:rPr>
        <w:fldChar w:fldCharType="separate"/>
      </w:r>
      <w:r>
        <w:rPr>
          <w:highlight w:val="none"/>
        </w:rPr>
        <w:t>5</w:t>
      </w:r>
      <w:r>
        <w:rPr>
          <w:highlight w:val="none"/>
        </w:rPr>
        <w:fldChar w:fldCharType="end"/>
      </w:r>
      <w:r>
        <w:rPr>
          <w:highlight w:val="none"/>
        </w:rPr>
        <w:fldChar w:fldCharType="end"/>
      </w:r>
    </w:p>
    <w:p>
      <w:pPr>
        <w:pStyle w:val="21"/>
        <w:tabs>
          <w:tab w:val="left" w:pos="840"/>
          <w:tab w:val="right" w:leader="dot" w:pos="8296"/>
        </w:tabs>
        <w:rPr>
          <w:szCs w:val="22"/>
          <w:highlight w:val="none"/>
        </w:rPr>
      </w:pPr>
      <w:r>
        <w:rPr>
          <w:highlight w:val="none"/>
        </w:rPr>
        <w:fldChar w:fldCharType="begin"/>
      </w:r>
      <w:r>
        <w:rPr>
          <w:highlight w:val="none"/>
        </w:rPr>
        <w:instrText xml:space="preserve"> HYPERLINK \l "_Toc127449895" </w:instrText>
      </w:r>
      <w:r>
        <w:rPr>
          <w:highlight w:val="none"/>
        </w:rPr>
        <w:fldChar w:fldCharType="separate"/>
      </w:r>
      <w:r>
        <w:rPr>
          <w:rStyle w:val="35"/>
          <w:highlight w:val="none"/>
        </w:rPr>
        <w:t>三、</w:t>
      </w:r>
      <w:r>
        <w:rPr>
          <w:szCs w:val="22"/>
          <w:highlight w:val="none"/>
        </w:rPr>
        <w:tab/>
      </w:r>
      <w:r>
        <w:rPr>
          <w:rStyle w:val="35"/>
          <w:highlight w:val="none"/>
        </w:rPr>
        <w:t>协议各方声明与保证</w:t>
      </w:r>
      <w:r>
        <w:rPr>
          <w:highlight w:val="none"/>
        </w:rPr>
        <w:tab/>
      </w:r>
      <w:r>
        <w:rPr>
          <w:highlight w:val="none"/>
        </w:rPr>
        <w:fldChar w:fldCharType="begin"/>
      </w:r>
      <w:r>
        <w:rPr>
          <w:highlight w:val="none"/>
        </w:rPr>
        <w:instrText xml:space="preserve"> PAGEREF _Toc127449895 \h </w:instrText>
      </w:r>
      <w:r>
        <w:rPr>
          <w:highlight w:val="none"/>
        </w:rPr>
        <w:fldChar w:fldCharType="separate"/>
      </w:r>
      <w:r>
        <w:rPr>
          <w:highlight w:val="none"/>
        </w:rPr>
        <w:t>5</w:t>
      </w:r>
      <w:r>
        <w:rPr>
          <w:highlight w:val="none"/>
        </w:rPr>
        <w:fldChar w:fldCharType="end"/>
      </w:r>
      <w:r>
        <w:rPr>
          <w:highlight w:val="none"/>
        </w:rPr>
        <w:fldChar w:fldCharType="end"/>
      </w:r>
    </w:p>
    <w:p>
      <w:pPr>
        <w:pStyle w:val="21"/>
        <w:tabs>
          <w:tab w:val="left" w:pos="840"/>
          <w:tab w:val="right" w:leader="dot" w:pos="8296"/>
        </w:tabs>
        <w:rPr>
          <w:szCs w:val="22"/>
          <w:highlight w:val="none"/>
        </w:rPr>
      </w:pPr>
      <w:r>
        <w:rPr>
          <w:highlight w:val="none"/>
        </w:rPr>
        <w:fldChar w:fldCharType="begin"/>
      </w:r>
      <w:r>
        <w:rPr>
          <w:highlight w:val="none"/>
        </w:rPr>
        <w:instrText xml:space="preserve"> HYPERLINK \l "_Toc127449896" </w:instrText>
      </w:r>
      <w:r>
        <w:rPr>
          <w:highlight w:val="none"/>
        </w:rPr>
        <w:fldChar w:fldCharType="separate"/>
      </w:r>
      <w:r>
        <w:rPr>
          <w:rStyle w:val="35"/>
          <w:highlight w:val="none"/>
        </w:rPr>
        <w:t>四、</w:t>
      </w:r>
      <w:r>
        <w:rPr>
          <w:szCs w:val="22"/>
          <w:highlight w:val="none"/>
        </w:rPr>
        <w:tab/>
      </w:r>
      <w:r>
        <w:rPr>
          <w:rStyle w:val="35"/>
          <w:highlight w:val="none"/>
        </w:rPr>
        <w:t>当事人权利与义务</w:t>
      </w:r>
      <w:r>
        <w:rPr>
          <w:highlight w:val="none"/>
        </w:rPr>
        <w:tab/>
      </w:r>
      <w:r>
        <w:rPr>
          <w:highlight w:val="none"/>
        </w:rPr>
        <w:fldChar w:fldCharType="begin"/>
      </w:r>
      <w:r>
        <w:rPr>
          <w:highlight w:val="none"/>
        </w:rPr>
        <w:instrText xml:space="preserve"> PAGEREF _Toc127449896 \h </w:instrText>
      </w:r>
      <w:r>
        <w:rPr>
          <w:highlight w:val="none"/>
        </w:rPr>
        <w:fldChar w:fldCharType="separate"/>
      </w:r>
      <w:r>
        <w:rPr>
          <w:highlight w:val="none"/>
        </w:rPr>
        <w:t>6</w:t>
      </w:r>
      <w:r>
        <w:rPr>
          <w:highlight w:val="none"/>
        </w:rPr>
        <w:fldChar w:fldCharType="end"/>
      </w:r>
      <w:r>
        <w:rPr>
          <w:highlight w:val="none"/>
        </w:rPr>
        <w:fldChar w:fldCharType="end"/>
      </w:r>
    </w:p>
    <w:p>
      <w:pPr>
        <w:pStyle w:val="21"/>
        <w:tabs>
          <w:tab w:val="left" w:pos="840"/>
          <w:tab w:val="right" w:leader="dot" w:pos="8296"/>
        </w:tabs>
        <w:rPr>
          <w:szCs w:val="22"/>
          <w:highlight w:val="none"/>
        </w:rPr>
      </w:pPr>
      <w:r>
        <w:rPr>
          <w:highlight w:val="none"/>
        </w:rPr>
        <w:fldChar w:fldCharType="begin"/>
      </w:r>
      <w:r>
        <w:rPr>
          <w:highlight w:val="none"/>
        </w:rPr>
        <w:instrText xml:space="preserve"> HYPERLINK \l "_Toc127449897" </w:instrText>
      </w:r>
      <w:r>
        <w:rPr>
          <w:highlight w:val="none"/>
        </w:rPr>
        <w:fldChar w:fldCharType="separate"/>
      </w:r>
      <w:r>
        <w:rPr>
          <w:rStyle w:val="35"/>
          <w:highlight w:val="none"/>
        </w:rPr>
        <w:t>五、</w:t>
      </w:r>
      <w:r>
        <w:rPr>
          <w:szCs w:val="22"/>
          <w:highlight w:val="none"/>
        </w:rPr>
        <w:tab/>
      </w:r>
      <w:r>
        <w:rPr>
          <w:rStyle w:val="35"/>
          <w:highlight w:val="none"/>
        </w:rPr>
        <w:t>托管财产保管</w:t>
      </w:r>
      <w:r>
        <w:rPr>
          <w:highlight w:val="none"/>
        </w:rPr>
        <w:tab/>
      </w:r>
      <w:r>
        <w:rPr>
          <w:highlight w:val="none"/>
        </w:rPr>
        <w:fldChar w:fldCharType="begin"/>
      </w:r>
      <w:r>
        <w:rPr>
          <w:highlight w:val="none"/>
        </w:rPr>
        <w:instrText xml:space="preserve"> PAGEREF _Toc127449897 \h </w:instrText>
      </w:r>
      <w:r>
        <w:rPr>
          <w:highlight w:val="none"/>
        </w:rPr>
        <w:fldChar w:fldCharType="separate"/>
      </w:r>
      <w:r>
        <w:rPr>
          <w:highlight w:val="none"/>
        </w:rPr>
        <w:t>9</w:t>
      </w:r>
      <w:r>
        <w:rPr>
          <w:highlight w:val="none"/>
        </w:rPr>
        <w:fldChar w:fldCharType="end"/>
      </w:r>
      <w:r>
        <w:rPr>
          <w:highlight w:val="none"/>
        </w:rPr>
        <w:fldChar w:fldCharType="end"/>
      </w:r>
    </w:p>
    <w:p>
      <w:pPr>
        <w:pStyle w:val="21"/>
        <w:tabs>
          <w:tab w:val="left" w:pos="840"/>
          <w:tab w:val="right" w:leader="dot" w:pos="8296"/>
        </w:tabs>
        <w:rPr>
          <w:szCs w:val="22"/>
          <w:highlight w:val="none"/>
        </w:rPr>
      </w:pPr>
      <w:r>
        <w:rPr>
          <w:highlight w:val="none"/>
        </w:rPr>
        <w:fldChar w:fldCharType="begin"/>
      </w:r>
      <w:r>
        <w:rPr>
          <w:highlight w:val="none"/>
        </w:rPr>
        <w:instrText xml:space="preserve"> HYPERLINK \l "_Toc127449898" </w:instrText>
      </w:r>
      <w:r>
        <w:rPr>
          <w:highlight w:val="none"/>
        </w:rPr>
        <w:fldChar w:fldCharType="separate"/>
      </w:r>
      <w:r>
        <w:rPr>
          <w:rStyle w:val="35"/>
          <w:highlight w:val="none"/>
        </w:rPr>
        <w:t>六、</w:t>
      </w:r>
      <w:r>
        <w:rPr>
          <w:szCs w:val="22"/>
          <w:highlight w:val="none"/>
        </w:rPr>
        <w:tab/>
      </w:r>
      <w:r>
        <w:rPr>
          <w:rStyle w:val="35"/>
          <w:highlight w:val="none"/>
        </w:rPr>
        <w:t>理财产品账户</w:t>
      </w:r>
      <w:r>
        <w:rPr>
          <w:highlight w:val="none"/>
        </w:rPr>
        <w:tab/>
      </w:r>
      <w:r>
        <w:rPr>
          <w:highlight w:val="none"/>
        </w:rPr>
        <w:fldChar w:fldCharType="begin"/>
      </w:r>
      <w:r>
        <w:rPr>
          <w:highlight w:val="none"/>
        </w:rPr>
        <w:instrText xml:space="preserve"> PAGEREF _Toc127449898 \h </w:instrText>
      </w:r>
      <w:r>
        <w:rPr>
          <w:highlight w:val="none"/>
        </w:rPr>
        <w:fldChar w:fldCharType="separate"/>
      </w:r>
      <w:r>
        <w:rPr>
          <w:highlight w:val="none"/>
        </w:rPr>
        <w:t>10</w:t>
      </w:r>
      <w:r>
        <w:rPr>
          <w:highlight w:val="none"/>
        </w:rPr>
        <w:fldChar w:fldCharType="end"/>
      </w:r>
      <w:r>
        <w:rPr>
          <w:highlight w:val="none"/>
        </w:rPr>
        <w:fldChar w:fldCharType="end"/>
      </w:r>
    </w:p>
    <w:p>
      <w:pPr>
        <w:pStyle w:val="21"/>
        <w:tabs>
          <w:tab w:val="left" w:pos="840"/>
          <w:tab w:val="right" w:leader="dot" w:pos="8296"/>
        </w:tabs>
        <w:rPr>
          <w:szCs w:val="22"/>
          <w:highlight w:val="none"/>
        </w:rPr>
      </w:pPr>
      <w:r>
        <w:rPr>
          <w:highlight w:val="none"/>
        </w:rPr>
        <w:fldChar w:fldCharType="begin"/>
      </w:r>
      <w:r>
        <w:rPr>
          <w:highlight w:val="none"/>
        </w:rPr>
        <w:instrText xml:space="preserve"> HYPERLINK \l "_Toc127449899" </w:instrText>
      </w:r>
      <w:r>
        <w:rPr>
          <w:highlight w:val="none"/>
        </w:rPr>
        <w:fldChar w:fldCharType="separate"/>
      </w:r>
      <w:r>
        <w:rPr>
          <w:rStyle w:val="35"/>
          <w:highlight w:val="none"/>
        </w:rPr>
        <w:t>七、</w:t>
      </w:r>
      <w:r>
        <w:rPr>
          <w:szCs w:val="22"/>
          <w:highlight w:val="none"/>
        </w:rPr>
        <w:tab/>
      </w:r>
      <w:r>
        <w:rPr>
          <w:rStyle w:val="35"/>
          <w:highlight w:val="none"/>
        </w:rPr>
        <w:t>资金移交与赎回</w:t>
      </w:r>
      <w:r>
        <w:rPr>
          <w:highlight w:val="none"/>
        </w:rPr>
        <w:tab/>
      </w:r>
      <w:r>
        <w:rPr>
          <w:highlight w:val="none"/>
        </w:rPr>
        <w:fldChar w:fldCharType="begin"/>
      </w:r>
      <w:r>
        <w:rPr>
          <w:highlight w:val="none"/>
        </w:rPr>
        <w:instrText xml:space="preserve"> PAGEREF _Toc127449899 \h </w:instrText>
      </w:r>
      <w:r>
        <w:rPr>
          <w:highlight w:val="none"/>
        </w:rPr>
        <w:fldChar w:fldCharType="separate"/>
      </w:r>
      <w:r>
        <w:rPr>
          <w:highlight w:val="none"/>
        </w:rPr>
        <w:t>11</w:t>
      </w:r>
      <w:r>
        <w:rPr>
          <w:highlight w:val="none"/>
        </w:rPr>
        <w:fldChar w:fldCharType="end"/>
      </w:r>
      <w:r>
        <w:rPr>
          <w:highlight w:val="none"/>
        </w:rPr>
        <w:fldChar w:fldCharType="end"/>
      </w:r>
    </w:p>
    <w:p>
      <w:pPr>
        <w:pStyle w:val="21"/>
        <w:tabs>
          <w:tab w:val="left" w:pos="840"/>
          <w:tab w:val="right" w:leader="dot" w:pos="8296"/>
        </w:tabs>
        <w:rPr>
          <w:szCs w:val="22"/>
          <w:highlight w:val="none"/>
        </w:rPr>
      </w:pPr>
      <w:r>
        <w:rPr>
          <w:highlight w:val="none"/>
        </w:rPr>
        <w:fldChar w:fldCharType="begin"/>
      </w:r>
      <w:r>
        <w:rPr>
          <w:highlight w:val="none"/>
        </w:rPr>
        <w:instrText xml:space="preserve"> HYPERLINK \l "_Toc127449900" </w:instrText>
      </w:r>
      <w:r>
        <w:rPr>
          <w:highlight w:val="none"/>
        </w:rPr>
        <w:fldChar w:fldCharType="separate"/>
      </w:r>
      <w:r>
        <w:rPr>
          <w:rStyle w:val="35"/>
          <w:highlight w:val="none"/>
        </w:rPr>
        <w:t>八、</w:t>
      </w:r>
      <w:r>
        <w:rPr>
          <w:szCs w:val="22"/>
          <w:highlight w:val="none"/>
        </w:rPr>
        <w:tab/>
      </w:r>
      <w:r>
        <w:rPr>
          <w:rStyle w:val="35"/>
          <w:highlight w:val="none"/>
        </w:rPr>
        <w:t>划款指令的发出、确认和执行</w:t>
      </w:r>
      <w:r>
        <w:rPr>
          <w:highlight w:val="none"/>
        </w:rPr>
        <w:tab/>
      </w:r>
      <w:r>
        <w:rPr>
          <w:highlight w:val="none"/>
        </w:rPr>
        <w:fldChar w:fldCharType="begin"/>
      </w:r>
      <w:r>
        <w:rPr>
          <w:highlight w:val="none"/>
        </w:rPr>
        <w:instrText xml:space="preserve"> PAGEREF _Toc127449900 \h </w:instrText>
      </w:r>
      <w:r>
        <w:rPr>
          <w:highlight w:val="none"/>
        </w:rPr>
        <w:fldChar w:fldCharType="separate"/>
      </w:r>
      <w:r>
        <w:rPr>
          <w:highlight w:val="none"/>
        </w:rPr>
        <w:t>12</w:t>
      </w:r>
      <w:r>
        <w:rPr>
          <w:highlight w:val="none"/>
        </w:rPr>
        <w:fldChar w:fldCharType="end"/>
      </w:r>
      <w:r>
        <w:rPr>
          <w:highlight w:val="none"/>
        </w:rPr>
        <w:fldChar w:fldCharType="end"/>
      </w:r>
    </w:p>
    <w:p>
      <w:pPr>
        <w:pStyle w:val="21"/>
        <w:tabs>
          <w:tab w:val="left" w:pos="840"/>
          <w:tab w:val="right" w:leader="dot" w:pos="8296"/>
        </w:tabs>
        <w:rPr>
          <w:szCs w:val="22"/>
          <w:highlight w:val="none"/>
        </w:rPr>
      </w:pPr>
      <w:r>
        <w:rPr>
          <w:highlight w:val="none"/>
        </w:rPr>
        <w:fldChar w:fldCharType="begin"/>
      </w:r>
      <w:r>
        <w:rPr>
          <w:highlight w:val="none"/>
        </w:rPr>
        <w:instrText xml:space="preserve"> HYPERLINK \l "_Toc127449901" </w:instrText>
      </w:r>
      <w:r>
        <w:rPr>
          <w:highlight w:val="none"/>
        </w:rPr>
        <w:fldChar w:fldCharType="separate"/>
      </w:r>
      <w:r>
        <w:rPr>
          <w:rStyle w:val="35"/>
          <w:highlight w:val="none"/>
        </w:rPr>
        <w:t>九、</w:t>
      </w:r>
      <w:r>
        <w:rPr>
          <w:szCs w:val="22"/>
          <w:highlight w:val="none"/>
        </w:rPr>
        <w:tab/>
      </w:r>
      <w:r>
        <w:rPr>
          <w:rStyle w:val="35"/>
          <w:highlight w:val="none"/>
        </w:rPr>
        <w:t>交易及清算交割安排</w:t>
      </w:r>
      <w:r>
        <w:rPr>
          <w:highlight w:val="none"/>
        </w:rPr>
        <w:tab/>
      </w:r>
      <w:r>
        <w:rPr>
          <w:highlight w:val="none"/>
        </w:rPr>
        <w:fldChar w:fldCharType="begin"/>
      </w:r>
      <w:r>
        <w:rPr>
          <w:highlight w:val="none"/>
        </w:rPr>
        <w:instrText xml:space="preserve"> PAGEREF _Toc127449901 \h </w:instrText>
      </w:r>
      <w:r>
        <w:rPr>
          <w:highlight w:val="none"/>
        </w:rPr>
        <w:fldChar w:fldCharType="separate"/>
      </w:r>
      <w:r>
        <w:rPr>
          <w:highlight w:val="none"/>
        </w:rPr>
        <w:t>18</w:t>
      </w:r>
      <w:r>
        <w:rPr>
          <w:highlight w:val="none"/>
        </w:rPr>
        <w:fldChar w:fldCharType="end"/>
      </w:r>
      <w:r>
        <w:rPr>
          <w:highlight w:val="none"/>
        </w:rPr>
        <w:fldChar w:fldCharType="end"/>
      </w:r>
    </w:p>
    <w:p>
      <w:pPr>
        <w:pStyle w:val="21"/>
        <w:tabs>
          <w:tab w:val="left" w:pos="840"/>
          <w:tab w:val="right" w:leader="dot" w:pos="8296"/>
        </w:tabs>
        <w:rPr>
          <w:szCs w:val="22"/>
          <w:highlight w:val="none"/>
        </w:rPr>
      </w:pPr>
      <w:r>
        <w:rPr>
          <w:highlight w:val="none"/>
        </w:rPr>
        <w:fldChar w:fldCharType="begin"/>
      </w:r>
      <w:r>
        <w:rPr>
          <w:highlight w:val="none"/>
        </w:rPr>
        <w:instrText xml:space="preserve"> HYPERLINK \l "_Toc127449902" </w:instrText>
      </w:r>
      <w:r>
        <w:rPr>
          <w:highlight w:val="none"/>
        </w:rPr>
        <w:fldChar w:fldCharType="separate"/>
      </w:r>
      <w:r>
        <w:rPr>
          <w:rStyle w:val="35"/>
          <w:highlight w:val="none"/>
        </w:rPr>
        <w:t>十、</w:t>
      </w:r>
      <w:r>
        <w:rPr>
          <w:szCs w:val="22"/>
          <w:highlight w:val="none"/>
        </w:rPr>
        <w:tab/>
      </w:r>
      <w:r>
        <w:rPr>
          <w:rStyle w:val="35"/>
          <w:highlight w:val="none"/>
        </w:rPr>
        <w:t>投资监督</w:t>
      </w:r>
      <w:r>
        <w:rPr>
          <w:highlight w:val="none"/>
        </w:rPr>
        <w:tab/>
      </w:r>
      <w:r>
        <w:rPr>
          <w:highlight w:val="none"/>
        </w:rPr>
        <w:fldChar w:fldCharType="begin"/>
      </w:r>
      <w:r>
        <w:rPr>
          <w:highlight w:val="none"/>
        </w:rPr>
        <w:instrText xml:space="preserve"> PAGEREF _Toc127449902 \h </w:instrText>
      </w:r>
      <w:r>
        <w:rPr>
          <w:highlight w:val="none"/>
        </w:rPr>
        <w:fldChar w:fldCharType="separate"/>
      </w:r>
      <w:r>
        <w:rPr>
          <w:highlight w:val="none"/>
        </w:rPr>
        <w:t>20</w:t>
      </w:r>
      <w:r>
        <w:rPr>
          <w:highlight w:val="none"/>
        </w:rPr>
        <w:fldChar w:fldCharType="end"/>
      </w:r>
      <w:r>
        <w:rPr>
          <w:highlight w:val="none"/>
        </w:rPr>
        <w:fldChar w:fldCharType="end"/>
      </w:r>
    </w:p>
    <w:p>
      <w:pPr>
        <w:pStyle w:val="21"/>
        <w:tabs>
          <w:tab w:val="left" w:pos="1050"/>
          <w:tab w:val="right" w:leader="dot" w:pos="8296"/>
        </w:tabs>
        <w:rPr>
          <w:szCs w:val="22"/>
          <w:highlight w:val="none"/>
        </w:rPr>
      </w:pPr>
      <w:r>
        <w:rPr>
          <w:highlight w:val="none"/>
        </w:rPr>
        <w:fldChar w:fldCharType="begin"/>
      </w:r>
      <w:r>
        <w:rPr>
          <w:highlight w:val="none"/>
        </w:rPr>
        <w:instrText xml:space="preserve"> HYPERLINK \l "_Toc127449903" </w:instrText>
      </w:r>
      <w:r>
        <w:rPr>
          <w:highlight w:val="none"/>
        </w:rPr>
        <w:fldChar w:fldCharType="separate"/>
      </w:r>
      <w:r>
        <w:rPr>
          <w:rStyle w:val="35"/>
          <w:highlight w:val="none"/>
        </w:rPr>
        <w:t>十一、</w:t>
      </w:r>
      <w:r>
        <w:rPr>
          <w:szCs w:val="22"/>
          <w:highlight w:val="none"/>
        </w:rPr>
        <w:tab/>
      </w:r>
      <w:r>
        <w:rPr>
          <w:rStyle w:val="35"/>
          <w:highlight w:val="none"/>
        </w:rPr>
        <w:t>会计核算与估值</w:t>
      </w:r>
      <w:r>
        <w:rPr>
          <w:highlight w:val="none"/>
        </w:rPr>
        <w:tab/>
      </w:r>
      <w:r>
        <w:rPr>
          <w:highlight w:val="none"/>
        </w:rPr>
        <w:fldChar w:fldCharType="begin"/>
      </w:r>
      <w:r>
        <w:rPr>
          <w:highlight w:val="none"/>
        </w:rPr>
        <w:instrText xml:space="preserve"> PAGEREF _Toc127449903 \h </w:instrText>
      </w:r>
      <w:r>
        <w:rPr>
          <w:highlight w:val="none"/>
        </w:rPr>
        <w:fldChar w:fldCharType="separate"/>
      </w:r>
      <w:r>
        <w:rPr>
          <w:highlight w:val="none"/>
        </w:rPr>
        <w:t>21</w:t>
      </w:r>
      <w:r>
        <w:rPr>
          <w:highlight w:val="none"/>
        </w:rPr>
        <w:fldChar w:fldCharType="end"/>
      </w:r>
      <w:r>
        <w:rPr>
          <w:highlight w:val="none"/>
        </w:rPr>
        <w:fldChar w:fldCharType="end"/>
      </w:r>
    </w:p>
    <w:p>
      <w:pPr>
        <w:pStyle w:val="21"/>
        <w:tabs>
          <w:tab w:val="left" w:pos="1050"/>
          <w:tab w:val="right" w:leader="dot" w:pos="8296"/>
        </w:tabs>
        <w:rPr>
          <w:szCs w:val="22"/>
          <w:highlight w:val="none"/>
        </w:rPr>
      </w:pPr>
      <w:r>
        <w:rPr>
          <w:highlight w:val="none"/>
        </w:rPr>
        <w:fldChar w:fldCharType="begin"/>
      </w:r>
      <w:r>
        <w:rPr>
          <w:highlight w:val="none"/>
        </w:rPr>
        <w:instrText xml:space="preserve"> HYPERLINK \l "_Toc127449904" </w:instrText>
      </w:r>
      <w:r>
        <w:rPr>
          <w:highlight w:val="none"/>
        </w:rPr>
        <w:fldChar w:fldCharType="separate"/>
      </w:r>
      <w:r>
        <w:rPr>
          <w:rStyle w:val="35"/>
          <w:highlight w:val="none"/>
        </w:rPr>
        <w:t>十二、</w:t>
      </w:r>
      <w:r>
        <w:rPr>
          <w:szCs w:val="22"/>
          <w:highlight w:val="none"/>
        </w:rPr>
        <w:tab/>
      </w:r>
      <w:r>
        <w:rPr>
          <w:rStyle w:val="35"/>
          <w:highlight w:val="none"/>
        </w:rPr>
        <w:t>费用计提方法、计提标准和支付方式</w:t>
      </w:r>
      <w:r>
        <w:rPr>
          <w:highlight w:val="none"/>
        </w:rPr>
        <w:tab/>
      </w:r>
      <w:r>
        <w:rPr>
          <w:highlight w:val="none"/>
        </w:rPr>
        <w:fldChar w:fldCharType="begin"/>
      </w:r>
      <w:r>
        <w:rPr>
          <w:highlight w:val="none"/>
        </w:rPr>
        <w:instrText xml:space="preserve"> PAGEREF _Toc127449904 \h </w:instrText>
      </w:r>
      <w:r>
        <w:rPr>
          <w:highlight w:val="none"/>
        </w:rPr>
        <w:fldChar w:fldCharType="separate"/>
      </w:r>
      <w:r>
        <w:rPr>
          <w:highlight w:val="none"/>
        </w:rPr>
        <w:t>24</w:t>
      </w:r>
      <w:r>
        <w:rPr>
          <w:highlight w:val="none"/>
        </w:rPr>
        <w:fldChar w:fldCharType="end"/>
      </w:r>
      <w:r>
        <w:rPr>
          <w:highlight w:val="none"/>
        </w:rPr>
        <w:fldChar w:fldCharType="end"/>
      </w:r>
    </w:p>
    <w:p>
      <w:pPr>
        <w:pStyle w:val="21"/>
        <w:tabs>
          <w:tab w:val="left" w:pos="1050"/>
          <w:tab w:val="right" w:leader="dot" w:pos="8296"/>
        </w:tabs>
        <w:rPr>
          <w:szCs w:val="22"/>
          <w:highlight w:val="none"/>
        </w:rPr>
      </w:pPr>
      <w:r>
        <w:rPr>
          <w:highlight w:val="none"/>
        </w:rPr>
        <w:fldChar w:fldCharType="begin"/>
      </w:r>
      <w:r>
        <w:rPr>
          <w:highlight w:val="none"/>
        </w:rPr>
        <w:instrText xml:space="preserve"> HYPERLINK \l "_Toc127449905" </w:instrText>
      </w:r>
      <w:r>
        <w:rPr>
          <w:highlight w:val="none"/>
        </w:rPr>
        <w:fldChar w:fldCharType="separate"/>
      </w:r>
      <w:r>
        <w:rPr>
          <w:rStyle w:val="35"/>
          <w:highlight w:val="none"/>
        </w:rPr>
        <w:t>十三、</w:t>
      </w:r>
      <w:r>
        <w:rPr>
          <w:szCs w:val="22"/>
          <w:highlight w:val="none"/>
        </w:rPr>
        <w:tab/>
      </w:r>
      <w:r>
        <w:rPr>
          <w:rStyle w:val="35"/>
          <w:highlight w:val="none"/>
        </w:rPr>
        <w:t>理财产品的变更、终止与清算</w:t>
      </w:r>
      <w:r>
        <w:rPr>
          <w:highlight w:val="none"/>
        </w:rPr>
        <w:tab/>
      </w:r>
      <w:r>
        <w:rPr>
          <w:highlight w:val="none"/>
        </w:rPr>
        <w:fldChar w:fldCharType="begin"/>
      </w:r>
      <w:r>
        <w:rPr>
          <w:highlight w:val="none"/>
        </w:rPr>
        <w:instrText xml:space="preserve"> PAGEREF _Toc127449905 \h </w:instrText>
      </w:r>
      <w:r>
        <w:rPr>
          <w:highlight w:val="none"/>
        </w:rPr>
        <w:fldChar w:fldCharType="separate"/>
      </w:r>
      <w:r>
        <w:rPr>
          <w:highlight w:val="none"/>
        </w:rPr>
        <w:t>26</w:t>
      </w:r>
      <w:r>
        <w:rPr>
          <w:highlight w:val="none"/>
        </w:rPr>
        <w:fldChar w:fldCharType="end"/>
      </w:r>
      <w:r>
        <w:rPr>
          <w:highlight w:val="none"/>
        </w:rPr>
        <w:fldChar w:fldCharType="end"/>
      </w:r>
    </w:p>
    <w:p>
      <w:pPr>
        <w:pStyle w:val="21"/>
        <w:tabs>
          <w:tab w:val="left" w:pos="1050"/>
          <w:tab w:val="right" w:leader="dot" w:pos="8296"/>
        </w:tabs>
        <w:rPr>
          <w:szCs w:val="22"/>
          <w:highlight w:val="none"/>
        </w:rPr>
      </w:pPr>
      <w:r>
        <w:rPr>
          <w:highlight w:val="none"/>
        </w:rPr>
        <w:fldChar w:fldCharType="begin"/>
      </w:r>
      <w:r>
        <w:rPr>
          <w:highlight w:val="none"/>
        </w:rPr>
        <w:instrText xml:space="preserve"> HYPERLINK \l "_Toc127449906" </w:instrText>
      </w:r>
      <w:r>
        <w:rPr>
          <w:highlight w:val="none"/>
        </w:rPr>
        <w:fldChar w:fldCharType="separate"/>
      </w:r>
      <w:r>
        <w:rPr>
          <w:rStyle w:val="35"/>
          <w:highlight w:val="none"/>
        </w:rPr>
        <w:t>十四、</w:t>
      </w:r>
      <w:r>
        <w:rPr>
          <w:szCs w:val="22"/>
          <w:highlight w:val="none"/>
        </w:rPr>
        <w:tab/>
      </w:r>
      <w:r>
        <w:rPr>
          <w:rStyle w:val="35"/>
          <w:highlight w:val="none"/>
        </w:rPr>
        <w:t>文件和档案的保存</w:t>
      </w:r>
      <w:r>
        <w:rPr>
          <w:highlight w:val="none"/>
        </w:rPr>
        <w:tab/>
      </w:r>
      <w:r>
        <w:rPr>
          <w:highlight w:val="none"/>
        </w:rPr>
        <w:fldChar w:fldCharType="begin"/>
      </w:r>
      <w:r>
        <w:rPr>
          <w:highlight w:val="none"/>
        </w:rPr>
        <w:instrText xml:space="preserve"> PAGEREF _Toc127449906 \h </w:instrText>
      </w:r>
      <w:r>
        <w:rPr>
          <w:highlight w:val="none"/>
        </w:rPr>
        <w:fldChar w:fldCharType="separate"/>
      </w:r>
      <w:r>
        <w:rPr>
          <w:highlight w:val="none"/>
        </w:rPr>
        <w:t>27</w:t>
      </w:r>
      <w:r>
        <w:rPr>
          <w:highlight w:val="none"/>
        </w:rPr>
        <w:fldChar w:fldCharType="end"/>
      </w:r>
      <w:r>
        <w:rPr>
          <w:highlight w:val="none"/>
        </w:rPr>
        <w:fldChar w:fldCharType="end"/>
      </w:r>
    </w:p>
    <w:p>
      <w:pPr>
        <w:pStyle w:val="21"/>
        <w:tabs>
          <w:tab w:val="left" w:pos="1050"/>
          <w:tab w:val="right" w:leader="dot" w:pos="8296"/>
        </w:tabs>
        <w:rPr>
          <w:szCs w:val="22"/>
          <w:highlight w:val="none"/>
        </w:rPr>
      </w:pPr>
      <w:r>
        <w:rPr>
          <w:highlight w:val="none"/>
        </w:rPr>
        <w:fldChar w:fldCharType="begin"/>
      </w:r>
      <w:r>
        <w:rPr>
          <w:highlight w:val="none"/>
        </w:rPr>
        <w:instrText xml:space="preserve"> HYPERLINK \l "_Toc127449907" </w:instrText>
      </w:r>
      <w:r>
        <w:rPr>
          <w:highlight w:val="none"/>
        </w:rPr>
        <w:fldChar w:fldCharType="separate"/>
      </w:r>
      <w:r>
        <w:rPr>
          <w:rStyle w:val="35"/>
          <w:highlight w:val="none"/>
        </w:rPr>
        <w:t>十五、</w:t>
      </w:r>
      <w:r>
        <w:rPr>
          <w:szCs w:val="22"/>
          <w:highlight w:val="none"/>
        </w:rPr>
        <w:tab/>
      </w:r>
      <w:r>
        <w:rPr>
          <w:rStyle w:val="35"/>
          <w:highlight w:val="none"/>
        </w:rPr>
        <w:t>违约责任、其他责任与免责条款</w:t>
      </w:r>
      <w:r>
        <w:rPr>
          <w:highlight w:val="none"/>
        </w:rPr>
        <w:tab/>
      </w:r>
      <w:r>
        <w:rPr>
          <w:highlight w:val="none"/>
        </w:rPr>
        <w:fldChar w:fldCharType="begin"/>
      </w:r>
      <w:r>
        <w:rPr>
          <w:highlight w:val="none"/>
        </w:rPr>
        <w:instrText xml:space="preserve"> PAGEREF _Toc127449907 \h </w:instrText>
      </w:r>
      <w:r>
        <w:rPr>
          <w:highlight w:val="none"/>
        </w:rPr>
        <w:fldChar w:fldCharType="separate"/>
      </w:r>
      <w:r>
        <w:rPr>
          <w:highlight w:val="none"/>
        </w:rPr>
        <w:t>27</w:t>
      </w:r>
      <w:r>
        <w:rPr>
          <w:highlight w:val="none"/>
        </w:rPr>
        <w:fldChar w:fldCharType="end"/>
      </w:r>
      <w:r>
        <w:rPr>
          <w:highlight w:val="none"/>
        </w:rPr>
        <w:fldChar w:fldCharType="end"/>
      </w:r>
    </w:p>
    <w:p>
      <w:pPr>
        <w:pStyle w:val="21"/>
        <w:tabs>
          <w:tab w:val="left" w:pos="1050"/>
          <w:tab w:val="right" w:leader="dot" w:pos="8296"/>
        </w:tabs>
        <w:rPr>
          <w:szCs w:val="22"/>
          <w:highlight w:val="none"/>
        </w:rPr>
      </w:pPr>
      <w:r>
        <w:rPr>
          <w:highlight w:val="none"/>
        </w:rPr>
        <w:fldChar w:fldCharType="begin"/>
      </w:r>
      <w:r>
        <w:rPr>
          <w:highlight w:val="none"/>
        </w:rPr>
        <w:instrText xml:space="preserve"> HYPERLINK \l "_Toc127449908" </w:instrText>
      </w:r>
      <w:r>
        <w:rPr>
          <w:highlight w:val="none"/>
        </w:rPr>
        <w:fldChar w:fldCharType="separate"/>
      </w:r>
      <w:r>
        <w:rPr>
          <w:rStyle w:val="35"/>
          <w:highlight w:val="none"/>
        </w:rPr>
        <w:t>十六、</w:t>
      </w:r>
      <w:r>
        <w:rPr>
          <w:szCs w:val="22"/>
          <w:highlight w:val="none"/>
        </w:rPr>
        <w:tab/>
      </w:r>
      <w:r>
        <w:rPr>
          <w:rStyle w:val="35"/>
          <w:highlight w:val="none"/>
        </w:rPr>
        <w:t>不可抗力</w:t>
      </w:r>
      <w:r>
        <w:rPr>
          <w:highlight w:val="none"/>
        </w:rPr>
        <w:tab/>
      </w:r>
      <w:r>
        <w:rPr>
          <w:highlight w:val="none"/>
        </w:rPr>
        <w:fldChar w:fldCharType="begin"/>
      </w:r>
      <w:r>
        <w:rPr>
          <w:highlight w:val="none"/>
        </w:rPr>
        <w:instrText xml:space="preserve"> PAGEREF _Toc127449908 \h </w:instrText>
      </w:r>
      <w:r>
        <w:rPr>
          <w:highlight w:val="none"/>
        </w:rPr>
        <w:fldChar w:fldCharType="separate"/>
      </w:r>
      <w:r>
        <w:rPr>
          <w:highlight w:val="none"/>
        </w:rPr>
        <w:t>30</w:t>
      </w:r>
      <w:r>
        <w:rPr>
          <w:highlight w:val="none"/>
        </w:rPr>
        <w:fldChar w:fldCharType="end"/>
      </w:r>
      <w:r>
        <w:rPr>
          <w:highlight w:val="none"/>
        </w:rPr>
        <w:fldChar w:fldCharType="end"/>
      </w:r>
    </w:p>
    <w:p>
      <w:pPr>
        <w:pStyle w:val="21"/>
        <w:tabs>
          <w:tab w:val="left" w:pos="1050"/>
          <w:tab w:val="right" w:leader="dot" w:pos="8296"/>
        </w:tabs>
        <w:rPr>
          <w:szCs w:val="22"/>
          <w:highlight w:val="none"/>
        </w:rPr>
      </w:pPr>
      <w:r>
        <w:rPr>
          <w:highlight w:val="none"/>
        </w:rPr>
        <w:fldChar w:fldCharType="begin"/>
      </w:r>
      <w:r>
        <w:rPr>
          <w:highlight w:val="none"/>
        </w:rPr>
        <w:instrText xml:space="preserve"> HYPERLINK \l "_Toc127449909" </w:instrText>
      </w:r>
      <w:r>
        <w:rPr>
          <w:highlight w:val="none"/>
        </w:rPr>
        <w:fldChar w:fldCharType="separate"/>
      </w:r>
      <w:r>
        <w:rPr>
          <w:rStyle w:val="35"/>
          <w:highlight w:val="none"/>
        </w:rPr>
        <w:t>十七、</w:t>
      </w:r>
      <w:r>
        <w:rPr>
          <w:szCs w:val="22"/>
          <w:highlight w:val="none"/>
        </w:rPr>
        <w:tab/>
      </w:r>
      <w:r>
        <w:rPr>
          <w:rStyle w:val="35"/>
          <w:highlight w:val="none"/>
        </w:rPr>
        <w:t>保密义务</w:t>
      </w:r>
      <w:r>
        <w:rPr>
          <w:highlight w:val="none"/>
        </w:rPr>
        <w:tab/>
      </w:r>
      <w:r>
        <w:rPr>
          <w:highlight w:val="none"/>
        </w:rPr>
        <w:fldChar w:fldCharType="begin"/>
      </w:r>
      <w:r>
        <w:rPr>
          <w:highlight w:val="none"/>
        </w:rPr>
        <w:instrText xml:space="preserve"> PAGEREF _Toc127449909 \h </w:instrText>
      </w:r>
      <w:r>
        <w:rPr>
          <w:highlight w:val="none"/>
        </w:rPr>
        <w:fldChar w:fldCharType="separate"/>
      </w:r>
      <w:r>
        <w:rPr>
          <w:highlight w:val="none"/>
        </w:rPr>
        <w:t>30</w:t>
      </w:r>
      <w:r>
        <w:rPr>
          <w:highlight w:val="none"/>
        </w:rPr>
        <w:fldChar w:fldCharType="end"/>
      </w:r>
      <w:r>
        <w:rPr>
          <w:highlight w:val="none"/>
        </w:rPr>
        <w:fldChar w:fldCharType="end"/>
      </w:r>
    </w:p>
    <w:p>
      <w:pPr>
        <w:pStyle w:val="21"/>
        <w:tabs>
          <w:tab w:val="left" w:pos="1050"/>
          <w:tab w:val="right" w:leader="dot" w:pos="8296"/>
        </w:tabs>
        <w:rPr>
          <w:szCs w:val="22"/>
          <w:highlight w:val="none"/>
        </w:rPr>
      </w:pPr>
      <w:r>
        <w:rPr>
          <w:highlight w:val="none"/>
        </w:rPr>
        <w:fldChar w:fldCharType="begin"/>
      </w:r>
      <w:r>
        <w:rPr>
          <w:highlight w:val="none"/>
        </w:rPr>
        <w:instrText xml:space="preserve"> HYPERLINK \l "_Toc127449910" </w:instrText>
      </w:r>
      <w:r>
        <w:rPr>
          <w:highlight w:val="none"/>
        </w:rPr>
        <w:fldChar w:fldCharType="separate"/>
      </w:r>
      <w:r>
        <w:rPr>
          <w:rStyle w:val="35"/>
          <w:highlight w:val="none"/>
        </w:rPr>
        <w:t>十八、</w:t>
      </w:r>
      <w:r>
        <w:rPr>
          <w:szCs w:val="22"/>
          <w:highlight w:val="none"/>
        </w:rPr>
        <w:tab/>
      </w:r>
      <w:r>
        <w:rPr>
          <w:rStyle w:val="35"/>
          <w:highlight w:val="none"/>
        </w:rPr>
        <w:t>争议的处理</w:t>
      </w:r>
      <w:r>
        <w:rPr>
          <w:highlight w:val="none"/>
        </w:rPr>
        <w:tab/>
      </w:r>
      <w:r>
        <w:rPr>
          <w:highlight w:val="none"/>
        </w:rPr>
        <w:fldChar w:fldCharType="begin"/>
      </w:r>
      <w:r>
        <w:rPr>
          <w:highlight w:val="none"/>
        </w:rPr>
        <w:instrText xml:space="preserve"> PAGEREF _Toc127449910 \h </w:instrText>
      </w:r>
      <w:r>
        <w:rPr>
          <w:highlight w:val="none"/>
        </w:rPr>
        <w:fldChar w:fldCharType="separate"/>
      </w:r>
      <w:r>
        <w:rPr>
          <w:highlight w:val="none"/>
        </w:rPr>
        <w:t>30</w:t>
      </w:r>
      <w:r>
        <w:rPr>
          <w:highlight w:val="none"/>
        </w:rPr>
        <w:fldChar w:fldCharType="end"/>
      </w:r>
      <w:r>
        <w:rPr>
          <w:highlight w:val="none"/>
        </w:rPr>
        <w:fldChar w:fldCharType="end"/>
      </w:r>
    </w:p>
    <w:p>
      <w:pPr>
        <w:pStyle w:val="21"/>
        <w:tabs>
          <w:tab w:val="left" w:pos="1050"/>
          <w:tab w:val="right" w:leader="dot" w:pos="8296"/>
        </w:tabs>
        <w:rPr>
          <w:szCs w:val="22"/>
          <w:highlight w:val="none"/>
        </w:rPr>
      </w:pPr>
      <w:r>
        <w:rPr>
          <w:highlight w:val="none"/>
        </w:rPr>
        <w:fldChar w:fldCharType="begin"/>
      </w:r>
      <w:r>
        <w:rPr>
          <w:highlight w:val="none"/>
        </w:rPr>
        <w:instrText xml:space="preserve"> HYPERLINK \l "_Toc127449911" </w:instrText>
      </w:r>
      <w:r>
        <w:rPr>
          <w:highlight w:val="none"/>
        </w:rPr>
        <w:fldChar w:fldCharType="separate"/>
      </w:r>
      <w:r>
        <w:rPr>
          <w:rStyle w:val="35"/>
          <w:highlight w:val="none"/>
        </w:rPr>
        <w:t>十九、</w:t>
      </w:r>
      <w:r>
        <w:rPr>
          <w:szCs w:val="22"/>
          <w:highlight w:val="none"/>
        </w:rPr>
        <w:tab/>
      </w:r>
      <w:r>
        <w:rPr>
          <w:rStyle w:val="35"/>
          <w:highlight w:val="none"/>
        </w:rPr>
        <w:t>协议的生效与终止</w:t>
      </w:r>
      <w:r>
        <w:rPr>
          <w:highlight w:val="none"/>
        </w:rPr>
        <w:tab/>
      </w:r>
      <w:r>
        <w:rPr>
          <w:highlight w:val="none"/>
        </w:rPr>
        <w:fldChar w:fldCharType="begin"/>
      </w:r>
      <w:r>
        <w:rPr>
          <w:highlight w:val="none"/>
        </w:rPr>
        <w:instrText xml:space="preserve"> PAGEREF _Toc127449911 \h </w:instrText>
      </w:r>
      <w:r>
        <w:rPr>
          <w:highlight w:val="none"/>
        </w:rPr>
        <w:fldChar w:fldCharType="separate"/>
      </w:r>
      <w:r>
        <w:rPr>
          <w:highlight w:val="none"/>
        </w:rPr>
        <w:t>31</w:t>
      </w:r>
      <w:r>
        <w:rPr>
          <w:highlight w:val="none"/>
        </w:rPr>
        <w:fldChar w:fldCharType="end"/>
      </w:r>
      <w:r>
        <w:rPr>
          <w:highlight w:val="none"/>
        </w:rPr>
        <w:fldChar w:fldCharType="end"/>
      </w:r>
    </w:p>
    <w:p>
      <w:pPr>
        <w:pStyle w:val="21"/>
        <w:tabs>
          <w:tab w:val="right" w:leader="dot" w:pos="8296"/>
        </w:tabs>
        <w:rPr>
          <w:szCs w:val="22"/>
          <w:highlight w:val="none"/>
        </w:rPr>
      </w:pPr>
      <w:r>
        <w:rPr>
          <w:highlight w:val="none"/>
        </w:rPr>
        <w:fldChar w:fldCharType="begin"/>
      </w:r>
      <w:r>
        <w:rPr>
          <w:highlight w:val="none"/>
        </w:rPr>
        <w:instrText xml:space="preserve"> HYPERLINK \l "_Toc127449912" </w:instrText>
      </w:r>
      <w:r>
        <w:rPr>
          <w:highlight w:val="none"/>
        </w:rPr>
        <w:fldChar w:fldCharType="separate"/>
      </w:r>
      <w:r>
        <w:rPr>
          <w:rStyle w:val="35"/>
          <w:highlight w:val="none"/>
        </w:rPr>
        <w:t>附件一：《理财产品申购赎回汇总》（表样）</w:t>
      </w:r>
      <w:r>
        <w:rPr>
          <w:highlight w:val="none"/>
        </w:rPr>
        <w:tab/>
      </w:r>
      <w:r>
        <w:rPr>
          <w:highlight w:val="none"/>
        </w:rPr>
        <w:fldChar w:fldCharType="begin"/>
      </w:r>
      <w:r>
        <w:rPr>
          <w:highlight w:val="none"/>
        </w:rPr>
        <w:instrText xml:space="preserve"> PAGEREF _Toc127449912 \h </w:instrText>
      </w:r>
      <w:r>
        <w:rPr>
          <w:highlight w:val="none"/>
        </w:rPr>
        <w:fldChar w:fldCharType="separate"/>
      </w:r>
      <w:r>
        <w:rPr>
          <w:highlight w:val="none"/>
        </w:rPr>
        <w:t>34</w:t>
      </w:r>
      <w:r>
        <w:rPr>
          <w:highlight w:val="none"/>
        </w:rPr>
        <w:fldChar w:fldCharType="end"/>
      </w:r>
      <w:r>
        <w:rPr>
          <w:highlight w:val="none"/>
        </w:rPr>
        <w:fldChar w:fldCharType="end"/>
      </w:r>
    </w:p>
    <w:p>
      <w:pPr>
        <w:pStyle w:val="21"/>
        <w:tabs>
          <w:tab w:val="right" w:leader="dot" w:pos="8296"/>
        </w:tabs>
        <w:rPr>
          <w:szCs w:val="22"/>
          <w:highlight w:val="none"/>
        </w:rPr>
      </w:pPr>
      <w:r>
        <w:rPr>
          <w:highlight w:val="none"/>
        </w:rPr>
        <w:fldChar w:fldCharType="begin"/>
      </w:r>
      <w:r>
        <w:rPr>
          <w:highlight w:val="none"/>
        </w:rPr>
        <w:instrText xml:space="preserve"> HYPERLINK \l "_Toc127449913" </w:instrText>
      </w:r>
      <w:r>
        <w:rPr>
          <w:highlight w:val="none"/>
        </w:rPr>
        <w:fldChar w:fldCharType="separate"/>
      </w:r>
      <w:r>
        <w:rPr>
          <w:rStyle w:val="35"/>
          <w:highlight w:val="none"/>
        </w:rPr>
        <w:t>附件二：划款指令（样本）</w:t>
      </w:r>
      <w:r>
        <w:rPr>
          <w:highlight w:val="none"/>
        </w:rPr>
        <w:tab/>
      </w:r>
      <w:r>
        <w:rPr>
          <w:highlight w:val="none"/>
        </w:rPr>
        <w:fldChar w:fldCharType="begin"/>
      </w:r>
      <w:r>
        <w:rPr>
          <w:highlight w:val="none"/>
        </w:rPr>
        <w:instrText xml:space="preserve"> PAGEREF _Toc127449913 \h </w:instrText>
      </w:r>
      <w:r>
        <w:rPr>
          <w:highlight w:val="none"/>
        </w:rPr>
        <w:fldChar w:fldCharType="separate"/>
      </w:r>
      <w:r>
        <w:rPr>
          <w:highlight w:val="none"/>
        </w:rPr>
        <w:t>35</w:t>
      </w:r>
      <w:r>
        <w:rPr>
          <w:highlight w:val="none"/>
        </w:rPr>
        <w:fldChar w:fldCharType="end"/>
      </w:r>
      <w:r>
        <w:rPr>
          <w:highlight w:val="none"/>
        </w:rPr>
        <w:fldChar w:fldCharType="end"/>
      </w:r>
    </w:p>
    <w:p>
      <w:pPr>
        <w:pStyle w:val="21"/>
        <w:tabs>
          <w:tab w:val="right" w:leader="dot" w:pos="8296"/>
        </w:tabs>
        <w:rPr>
          <w:szCs w:val="22"/>
          <w:highlight w:val="none"/>
        </w:rPr>
      </w:pPr>
      <w:r>
        <w:rPr>
          <w:highlight w:val="none"/>
        </w:rPr>
        <w:fldChar w:fldCharType="begin"/>
      </w:r>
      <w:r>
        <w:rPr>
          <w:highlight w:val="none"/>
        </w:rPr>
        <w:instrText xml:space="preserve"> HYPERLINK \l "_Toc127449914" </w:instrText>
      </w:r>
      <w:r>
        <w:rPr>
          <w:highlight w:val="none"/>
        </w:rPr>
        <w:fldChar w:fldCharType="separate"/>
      </w:r>
      <w:r>
        <w:rPr>
          <w:rStyle w:val="35"/>
          <w:highlight w:val="none"/>
        </w:rPr>
        <w:t>附件三：理财产品资金托管起始运作通知书（样本）</w:t>
      </w:r>
      <w:r>
        <w:rPr>
          <w:highlight w:val="none"/>
        </w:rPr>
        <w:tab/>
      </w:r>
      <w:r>
        <w:rPr>
          <w:highlight w:val="none"/>
        </w:rPr>
        <w:fldChar w:fldCharType="begin"/>
      </w:r>
      <w:r>
        <w:rPr>
          <w:highlight w:val="none"/>
        </w:rPr>
        <w:instrText xml:space="preserve"> PAGEREF _Toc127449914 \h </w:instrText>
      </w:r>
      <w:r>
        <w:rPr>
          <w:highlight w:val="none"/>
        </w:rPr>
        <w:fldChar w:fldCharType="separate"/>
      </w:r>
      <w:r>
        <w:rPr>
          <w:highlight w:val="none"/>
        </w:rPr>
        <w:t>36</w:t>
      </w:r>
      <w:r>
        <w:rPr>
          <w:highlight w:val="none"/>
        </w:rPr>
        <w:fldChar w:fldCharType="end"/>
      </w:r>
      <w:r>
        <w:rPr>
          <w:highlight w:val="none"/>
        </w:rPr>
        <w:fldChar w:fldCharType="end"/>
      </w:r>
    </w:p>
    <w:p>
      <w:pPr>
        <w:pStyle w:val="21"/>
        <w:tabs>
          <w:tab w:val="right" w:leader="dot" w:pos="8296"/>
        </w:tabs>
        <w:rPr>
          <w:szCs w:val="22"/>
          <w:highlight w:val="none"/>
        </w:rPr>
      </w:pPr>
      <w:r>
        <w:rPr>
          <w:highlight w:val="none"/>
        </w:rPr>
        <w:fldChar w:fldCharType="begin"/>
      </w:r>
      <w:r>
        <w:rPr>
          <w:highlight w:val="none"/>
        </w:rPr>
        <w:instrText xml:space="preserve"> HYPERLINK \l "_Toc127449915" </w:instrText>
      </w:r>
      <w:r>
        <w:rPr>
          <w:highlight w:val="none"/>
        </w:rPr>
        <w:fldChar w:fldCharType="separate"/>
      </w:r>
      <w:r>
        <w:rPr>
          <w:rStyle w:val="35"/>
          <w:highlight w:val="none"/>
        </w:rPr>
        <w:t>附件四：指令签发人员及印章授权书</w:t>
      </w:r>
      <w:r>
        <w:rPr>
          <w:highlight w:val="none"/>
        </w:rPr>
        <w:tab/>
      </w:r>
      <w:r>
        <w:rPr>
          <w:highlight w:val="none"/>
        </w:rPr>
        <w:fldChar w:fldCharType="begin"/>
      </w:r>
      <w:r>
        <w:rPr>
          <w:highlight w:val="none"/>
        </w:rPr>
        <w:instrText xml:space="preserve"> PAGEREF _Toc127449915 \h </w:instrText>
      </w:r>
      <w:r>
        <w:rPr>
          <w:highlight w:val="none"/>
        </w:rPr>
        <w:fldChar w:fldCharType="separate"/>
      </w:r>
      <w:r>
        <w:rPr>
          <w:highlight w:val="none"/>
        </w:rPr>
        <w:t>37</w:t>
      </w:r>
      <w:r>
        <w:rPr>
          <w:highlight w:val="none"/>
        </w:rPr>
        <w:fldChar w:fldCharType="end"/>
      </w:r>
      <w:r>
        <w:rPr>
          <w:highlight w:val="none"/>
        </w:rPr>
        <w:fldChar w:fldCharType="end"/>
      </w:r>
    </w:p>
    <w:p>
      <w:pPr>
        <w:pStyle w:val="21"/>
        <w:tabs>
          <w:tab w:val="right" w:leader="dot" w:pos="8296"/>
        </w:tabs>
        <w:rPr>
          <w:szCs w:val="22"/>
          <w:highlight w:val="none"/>
        </w:rPr>
      </w:pPr>
      <w:r>
        <w:rPr>
          <w:highlight w:val="none"/>
        </w:rPr>
        <w:fldChar w:fldCharType="begin"/>
      </w:r>
      <w:r>
        <w:rPr>
          <w:highlight w:val="none"/>
        </w:rPr>
        <w:instrText xml:space="preserve"> HYPERLINK \l "_Toc127449916" </w:instrText>
      </w:r>
      <w:r>
        <w:rPr>
          <w:highlight w:val="none"/>
        </w:rPr>
        <w:fldChar w:fldCharType="separate"/>
      </w:r>
      <w:r>
        <w:rPr>
          <w:rStyle w:val="35"/>
          <w:highlight w:val="none"/>
        </w:rPr>
        <w:t>附件五：投资监督事项表</w:t>
      </w:r>
      <w:r>
        <w:rPr>
          <w:highlight w:val="none"/>
        </w:rPr>
        <w:tab/>
      </w:r>
      <w:r>
        <w:rPr>
          <w:highlight w:val="none"/>
        </w:rPr>
        <w:fldChar w:fldCharType="begin"/>
      </w:r>
      <w:r>
        <w:rPr>
          <w:highlight w:val="none"/>
        </w:rPr>
        <w:instrText xml:space="preserve"> PAGEREF _Toc127449916 \h </w:instrText>
      </w:r>
      <w:r>
        <w:rPr>
          <w:highlight w:val="none"/>
        </w:rPr>
        <w:fldChar w:fldCharType="separate"/>
      </w:r>
      <w:r>
        <w:rPr>
          <w:highlight w:val="none"/>
        </w:rPr>
        <w:t>38</w:t>
      </w:r>
      <w:r>
        <w:rPr>
          <w:highlight w:val="none"/>
        </w:rPr>
        <w:fldChar w:fldCharType="end"/>
      </w:r>
      <w:r>
        <w:rPr>
          <w:highlight w:val="none"/>
        </w:rPr>
        <w:fldChar w:fldCharType="end"/>
      </w:r>
    </w:p>
    <w:p>
      <w:pPr>
        <w:pStyle w:val="21"/>
        <w:tabs>
          <w:tab w:val="right" w:leader="dot" w:pos="8296"/>
        </w:tabs>
        <w:rPr>
          <w:rStyle w:val="35"/>
          <w:highlight w:val="none"/>
        </w:rPr>
      </w:pPr>
      <w:r>
        <w:rPr>
          <w:highlight w:val="none"/>
        </w:rPr>
        <w:fldChar w:fldCharType="begin"/>
      </w:r>
      <w:r>
        <w:rPr>
          <w:highlight w:val="none"/>
        </w:rPr>
        <w:instrText xml:space="preserve"> HYPERLINK \l "_Toc127449917" </w:instrText>
      </w:r>
      <w:r>
        <w:rPr>
          <w:highlight w:val="none"/>
        </w:rPr>
        <w:fldChar w:fldCharType="separate"/>
      </w:r>
      <w:r>
        <w:rPr>
          <w:rStyle w:val="35"/>
          <w:highlight w:val="none"/>
        </w:rPr>
        <w:t>附件六：专用清算账户及资金划拨专用账户</w:t>
      </w:r>
      <w:r>
        <w:rPr>
          <w:highlight w:val="none"/>
        </w:rPr>
        <w:tab/>
      </w:r>
      <w:r>
        <w:rPr>
          <w:highlight w:val="none"/>
        </w:rPr>
        <w:fldChar w:fldCharType="begin"/>
      </w:r>
      <w:r>
        <w:rPr>
          <w:highlight w:val="none"/>
        </w:rPr>
        <w:instrText xml:space="preserve"> PAGEREF _Toc127449917 \h </w:instrText>
      </w:r>
      <w:r>
        <w:rPr>
          <w:highlight w:val="none"/>
        </w:rPr>
        <w:fldChar w:fldCharType="separate"/>
      </w:r>
      <w:r>
        <w:rPr>
          <w:highlight w:val="none"/>
        </w:rPr>
        <w:t>39</w:t>
      </w:r>
      <w:r>
        <w:rPr>
          <w:highlight w:val="none"/>
        </w:rPr>
        <w:fldChar w:fldCharType="end"/>
      </w:r>
      <w:r>
        <w:rPr>
          <w:highlight w:val="none"/>
        </w:rPr>
        <w:fldChar w:fldCharType="end"/>
      </w:r>
    </w:p>
    <w:p>
      <w:pPr>
        <w:widowControl/>
        <w:jc w:val="left"/>
        <w:rPr>
          <w:highlight w:val="none"/>
        </w:rPr>
      </w:pPr>
      <w:r>
        <w:rPr>
          <w:highlight w:val="none"/>
        </w:rPr>
        <w:br w:type="page"/>
      </w:r>
    </w:p>
    <w:p>
      <w:pPr>
        <w:pStyle w:val="3"/>
        <w:rPr>
          <w:bCs w:val="0"/>
          <w:highlight w:val="none"/>
        </w:rPr>
      </w:pPr>
      <w:r>
        <w:rPr>
          <w:rFonts w:hint="eastAsia" w:ascii="宋体" w:hAnsi="宋体" w:cs="宋体"/>
          <w:highlight w:val="none"/>
        </w:rPr>
        <w:fldChar w:fldCharType="end"/>
      </w:r>
      <w:bookmarkStart w:id="0" w:name="_Toc127449893"/>
      <w:bookmarkStart w:id="1" w:name="_Toc20793"/>
      <w:bookmarkStart w:id="2" w:name="_Toc4069"/>
      <w:bookmarkStart w:id="3" w:name="_Toc20468"/>
      <w:bookmarkStart w:id="4" w:name="_Toc22876"/>
      <w:bookmarkStart w:id="5" w:name="_Toc15679"/>
      <w:bookmarkStart w:id="6" w:name="_Toc11304"/>
      <w:bookmarkStart w:id="7" w:name="_Toc23634"/>
      <w:r>
        <w:rPr>
          <w:rFonts w:hint="eastAsia"/>
          <w:bCs w:val="0"/>
          <w:highlight w:val="none"/>
        </w:rPr>
        <w:t>托管协议当事人</w:t>
      </w:r>
      <w:bookmarkEnd w:id="0"/>
      <w:bookmarkEnd w:id="1"/>
      <w:bookmarkEnd w:id="2"/>
      <w:bookmarkEnd w:id="3"/>
      <w:bookmarkEnd w:id="4"/>
      <w:bookmarkEnd w:id="5"/>
      <w:bookmarkEnd w:id="6"/>
      <w:bookmarkEnd w:id="7"/>
    </w:p>
    <w:p>
      <w:pPr>
        <w:pStyle w:val="4"/>
        <w:ind w:left="0" w:firstLine="420"/>
        <w:rPr>
          <w:highlight w:val="none"/>
        </w:rPr>
      </w:pPr>
      <w:r>
        <w:rPr>
          <w:rFonts w:hint="eastAsia"/>
          <w:highlight w:val="none"/>
        </w:rPr>
        <w:t>管理人（甲方）</w:t>
      </w:r>
    </w:p>
    <w:p>
      <w:pPr>
        <w:spacing w:line="360" w:lineRule="auto"/>
        <w:rPr>
          <w:sz w:val="24"/>
          <w:highlight w:val="none"/>
        </w:rPr>
      </w:pPr>
      <w:r>
        <w:rPr>
          <w:rFonts w:hint="eastAsia"/>
          <w:sz w:val="24"/>
          <w:highlight w:val="none"/>
        </w:rPr>
        <w:t>甲方：恒丰理财有限责任公司</w:t>
      </w:r>
    </w:p>
    <w:p>
      <w:pPr>
        <w:spacing w:line="360" w:lineRule="auto"/>
        <w:rPr>
          <w:sz w:val="24"/>
          <w:highlight w:val="none"/>
        </w:rPr>
      </w:pPr>
      <w:r>
        <w:rPr>
          <w:rFonts w:hint="eastAsia"/>
          <w:sz w:val="24"/>
          <w:highlight w:val="none"/>
        </w:rPr>
        <w:t>法定代表人（负责人）：魏吉锋</w:t>
      </w:r>
    </w:p>
    <w:p>
      <w:pPr>
        <w:spacing w:line="360" w:lineRule="auto"/>
        <w:rPr>
          <w:sz w:val="24"/>
          <w:highlight w:val="none"/>
        </w:rPr>
      </w:pPr>
      <w:r>
        <w:rPr>
          <w:rFonts w:hint="eastAsia"/>
          <w:sz w:val="24"/>
          <w:highlight w:val="none"/>
        </w:rPr>
        <w:t>住所地/经常居住地：山东省青岛市崂山区仙霞岭路31号</w:t>
      </w:r>
    </w:p>
    <w:p>
      <w:pPr>
        <w:spacing w:line="360" w:lineRule="auto"/>
        <w:rPr>
          <w:sz w:val="24"/>
          <w:highlight w:val="none"/>
        </w:rPr>
      </w:pPr>
      <w:r>
        <w:rPr>
          <w:rFonts w:hint="eastAsia"/>
          <w:sz w:val="24"/>
          <w:highlight w:val="none"/>
        </w:rPr>
        <w:t>联系地址：山东省青岛市崂山区仙霞岭路31号</w:t>
      </w:r>
    </w:p>
    <w:p>
      <w:pPr>
        <w:spacing w:line="360" w:lineRule="auto"/>
        <w:rPr>
          <w:sz w:val="24"/>
          <w:highlight w:val="none"/>
        </w:rPr>
      </w:pPr>
      <w:r>
        <w:rPr>
          <w:rFonts w:hint="eastAsia"/>
          <w:sz w:val="24"/>
          <w:highlight w:val="none"/>
        </w:rPr>
        <w:t>联系人：臧昕</w:t>
      </w:r>
    </w:p>
    <w:p>
      <w:pPr>
        <w:spacing w:line="360" w:lineRule="auto"/>
        <w:rPr>
          <w:sz w:val="24"/>
          <w:highlight w:val="none"/>
        </w:rPr>
      </w:pPr>
      <w:r>
        <w:rPr>
          <w:rFonts w:hint="eastAsia"/>
          <w:sz w:val="24"/>
          <w:highlight w:val="none"/>
        </w:rPr>
        <w:t>电话/移动电话：0532-68616306</w:t>
      </w:r>
    </w:p>
    <w:p>
      <w:pPr>
        <w:spacing w:line="360" w:lineRule="auto"/>
        <w:rPr>
          <w:sz w:val="24"/>
          <w:highlight w:val="none"/>
        </w:rPr>
      </w:pPr>
      <w:r>
        <w:rPr>
          <w:rFonts w:hint="eastAsia"/>
          <w:sz w:val="24"/>
          <w:highlight w:val="none"/>
        </w:rPr>
        <w:t>邮政编码：266100</w:t>
      </w:r>
    </w:p>
    <w:p>
      <w:pPr>
        <w:spacing w:line="360" w:lineRule="auto"/>
        <w:rPr>
          <w:sz w:val="24"/>
          <w:highlight w:val="none"/>
        </w:rPr>
      </w:pPr>
      <w:r>
        <w:rPr>
          <w:rFonts w:hint="eastAsia"/>
          <w:sz w:val="24"/>
          <w:highlight w:val="none"/>
        </w:rPr>
        <w:t>传真：/</w:t>
      </w:r>
    </w:p>
    <w:p>
      <w:pPr>
        <w:spacing w:line="360" w:lineRule="auto"/>
        <w:rPr>
          <w:sz w:val="24"/>
          <w:highlight w:val="none"/>
        </w:rPr>
      </w:pPr>
      <w:r>
        <w:rPr>
          <w:rFonts w:hint="eastAsia"/>
          <w:sz w:val="24"/>
          <w:highlight w:val="none"/>
        </w:rPr>
        <w:t>电子邮件：/</w:t>
      </w:r>
    </w:p>
    <w:p>
      <w:pPr>
        <w:pStyle w:val="4"/>
        <w:ind w:left="0" w:firstLine="420"/>
        <w:rPr>
          <w:highlight w:val="none"/>
        </w:rPr>
      </w:pPr>
      <w:r>
        <w:rPr>
          <w:highlight w:val="none"/>
        </w:rPr>
        <w:t>托管人（乙方）</w:t>
      </w:r>
    </w:p>
    <w:p>
      <w:pPr>
        <w:spacing w:line="360" w:lineRule="auto"/>
        <w:rPr>
          <w:rFonts w:hint="default" w:eastAsia="宋体"/>
          <w:sz w:val="24"/>
          <w:highlight w:val="none"/>
          <w:lang w:val="en-US" w:eastAsia="zh-CN"/>
        </w:rPr>
      </w:pPr>
      <w:r>
        <w:rPr>
          <w:rFonts w:hint="eastAsia"/>
          <w:sz w:val="24"/>
          <w:highlight w:val="none"/>
        </w:rPr>
        <w:t xml:space="preserve">乙方： </w:t>
      </w:r>
      <w:r>
        <w:rPr>
          <w:rFonts w:hint="eastAsia"/>
          <w:sz w:val="24"/>
          <w:highlight w:val="none"/>
          <w:lang w:val="en-US" w:eastAsia="zh-CN"/>
        </w:rPr>
        <w:t>中国民生银行股份有限公司</w:t>
      </w:r>
    </w:p>
    <w:p>
      <w:pPr>
        <w:spacing w:line="360" w:lineRule="auto"/>
        <w:rPr>
          <w:sz w:val="24"/>
          <w:highlight w:val="none"/>
        </w:rPr>
      </w:pPr>
      <w:r>
        <w:rPr>
          <w:rFonts w:hint="eastAsia"/>
          <w:sz w:val="24"/>
          <w:highlight w:val="none"/>
        </w:rPr>
        <w:t>法定代表人（负责人）：</w:t>
      </w:r>
      <w:r>
        <w:rPr>
          <w:rFonts w:hint="eastAsia"/>
          <w:sz w:val="24"/>
          <w:highlight w:val="none"/>
          <w:lang w:val="en-US" w:eastAsia="zh-CN"/>
        </w:rPr>
        <w:t>高迎欣</w:t>
      </w:r>
      <w:r>
        <w:rPr>
          <w:rFonts w:hint="eastAsia"/>
          <w:sz w:val="24"/>
          <w:highlight w:val="none"/>
        </w:rPr>
        <w:t xml:space="preserve"> </w:t>
      </w:r>
    </w:p>
    <w:p>
      <w:pPr>
        <w:spacing w:line="360" w:lineRule="auto"/>
        <w:rPr>
          <w:rFonts w:hint="default" w:eastAsia="宋体"/>
          <w:sz w:val="24"/>
          <w:highlight w:val="none"/>
          <w:lang w:val="en-US" w:eastAsia="zh-CN"/>
        </w:rPr>
      </w:pPr>
      <w:r>
        <w:rPr>
          <w:rFonts w:hint="eastAsia"/>
          <w:sz w:val="24"/>
          <w:highlight w:val="none"/>
        </w:rPr>
        <w:t xml:space="preserve">住所地/经常居住地： </w:t>
      </w:r>
      <w:r>
        <w:rPr>
          <w:rFonts w:hint="eastAsia"/>
          <w:sz w:val="24"/>
          <w:highlight w:val="none"/>
          <w:lang w:val="en-US" w:eastAsia="zh-CN"/>
        </w:rPr>
        <w:t>北京市西城区复兴门内大街2号</w:t>
      </w:r>
    </w:p>
    <w:p>
      <w:pPr>
        <w:spacing w:line="360" w:lineRule="auto"/>
        <w:rPr>
          <w:sz w:val="24"/>
          <w:highlight w:val="none"/>
        </w:rPr>
      </w:pPr>
      <w:r>
        <w:rPr>
          <w:rFonts w:hint="eastAsia"/>
          <w:sz w:val="24"/>
          <w:highlight w:val="none"/>
        </w:rPr>
        <w:t xml:space="preserve">联系地址：  </w:t>
      </w:r>
      <w:r>
        <w:rPr>
          <w:rFonts w:hint="eastAsia"/>
          <w:sz w:val="24"/>
          <w:highlight w:val="none"/>
          <w:lang w:val="en-US" w:eastAsia="zh-CN"/>
        </w:rPr>
        <w:t>北京市西城区复兴门内大街2号</w:t>
      </w:r>
    </w:p>
    <w:p>
      <w:pPr>
        <w:spacing w:line="360" w:lineRule="auto"/>
        <w:rPr>
          <w:rFonts w:hint="eastAsia" w:eastAsia="宋体"/>
          <w:sz w:val="24"/>
          <w:highlight w:val="none"/>
          <w:lang w:val="en-US" w:eastAsia="zh-CN"/>
        </w:rPr>
      </w:pPr>
      <w:r>
        <w:rPr>
          <w:rFonts w:hint="eastAsia"/>
          <w:sz w:val="24"/>
          <w:highlight w:val="none"/>
        </w:rPr>
        <w:t xml:space="preserve">联系人： </w:t>
      </w:r>
      <w:r>
        <w:rPr>
          <w:rFonts w:hint="eastAsia"/>
          <w:sz w:val="24"/>
          <w:highlight w:val="none"/>
          <w:lang w:val="en-US" w:eastAsia="zh-CN"/>
        </w:rPr>
        <w:t>王博</w:t>
      </w:r>
    </w:p>
    <w:p>
      <w:pPr>
        <w:spacing w:line="360" w:lineRule="auto"/>
        <w:rPr>
          <w:sz w:val="24"/>
          <w:highlight w:val="none"/>
        </w:rPr>
      </w:pPr>
      <w:r>
        <w:rPr>
          <w:rFonts w:hint="eastAsia"/>
          <w:sz w:val="24"/>
          <w:highlight w:val="none"/>
        </w:rPr>
        <w:t>电话/移动电话：010-57093987</w:t>
      </w:r>
    </w:p>
    <w:p>
      <w:pPr>
        <w:spacing w:line="360" w:lineRule="auto"/>
        <w:rPr>
          <w:rFonts w:hint="default" w:eastAsia="宋体"/>
          <w:sz w:val="24"/>
          <w:highlight w:val="none"/>
          <w:lang w:val="en-US" w:eastAsia="zh-CN"/>
        </w:rPr>
      </w:pPr>
      <w:r>
        <w:rPr>
          <w:rFonts w:hint="eastAsia"/>
          <w:sz w:val="24"/>
          <w:highlight w:val="none"/>
        </w:rPr>
        <w:t>邮政编码：</w:t>
      </w:r>
      <w:r>
        <w:rPr>
          <w:rFonts w:hint="eastAsia"/>
          <w:sz w:val="24"/>
          <w:highlight w:val="none"/>
          <w:lang w:val="en-US" w:eastAsia="zh-CN"/>
        </w:rPr>
        <w:t>100032</w:t>
      </w:r>
    </w:p>
    <w:p>
      <w:pPr>
        <w:spacing w:line="360" w:lineRule="auto"/>
        <w:rPr>
          <w:rFonts w:hint="eastAsia" w:eastAsia="宋体"/>
          <w:sz w:val="24"/>
          <w:highlight w:val="none"/>
          <w:lang w:val="en-US" w:eastAsia="zh-CN"/>
        </w:rPr>
      </w:pPr>
      <w:r>
        <w:rPr>
          <w:rFonts w:hint="eastAsia"/>
          <w:sz w:val="24"/>
          <w:highlight w:val="none"/>
        </w:rPr>
        <w:t>传真：</w:t>
      </w:r>
      <w:r>
        <w:rPr>
          <w:rFonts w:hint="eastAsia"/>
          <w:sz w:val="24"/>
          <w:highlight w:val="none"/>
          <w:lang w:val="en-US" w:eastAsia="zh-CN"/>
        </w:rPr>
        <w:t>/</w:t>
      </w:r>
    </w:p>
    <w:p>
      <w:pPr>
        <w:spacing w:line="360" w:lineRule="auto"/>
        <w:rPr>
          <w:sz w:val="24"/>
          <w:highlight w:val="none"/>
        </w:rPr>
      </w:pPr>
      <w:r>
        <w:rPr>
          <w:rFonts w:hint="eastAsia"/>
          <w:sz w:val="24"/>
          <w:highlight w:val="none"/>
        </w:rPr>
        <w:t>电子邮件：wangbo26@cmbc.com.cn</w:t>
      </w:r>
      <w:r>
        <w:rPr>
          <w:sz w:val="24"/>
          <w:highlight w:val="none"/>
        </w:rPr>
        <w:t xml:space="preserve"> </w:t>
      </w:r>
    </w:p>
    <w:p>
      <w:pPr>
        <w:spacing w:line="360" w:lineRule="auto"/>
        <w:rPr>
          <w:sz w:val="24"/>
          <w:highlight w:val="none"/>
        </w:rPr>
      </w:pPr>
    </w:p>
    <w:p>
      <w:pPr>
        <w:pStyle w:val="3"/>
        <w:rPr>
          <w:highlight w:val="none"/>
        </w:rPr>
      </w:pPr>
      <w:bookmarkStart w:id="8" w:name="_Toc16062"/>
      <w:bookmarkStart w:id="9" w:name="_Toc5914"/>
      <w:bookmarkStart w:id="10" w:name="_Toc22573"/>
      <w:bookmarkStart w:id="11" w:name="_Toc21043"/>
      <w:bookmarkStart w:id="12" w:name="_Toc127449894"/>
      <w:bookmarkStart w:id="13" w:name="_Toc10729"/>
      <w:bookmarkStart w:id="14" w:name="_Toc31650"/>
      <w:bookmarkStart w:id="15" w:name="_Toc28391"/>
      <w:r>
        <w:rPr>
          <w:rFonts w:hint="eastAsia"/>
          <w:highlight w:val="none"/>
        </w:rPr>
        <w:t>订立本协议的依据、目的和原则</w:t>
      </w:r>
      <w:bookmarkEnd w:id="8"/>
      <w:bookmarkEnd w:id="9"/>
      <w:bookmarkEnd w:id="10"/>
      <w:bookmarkEnd w:id="11"/>
      <w:bookmarkEnd w:id="12"/>
      <w:bookmarkEnd w:id="13"/>
      <w:bookmarkEnd w:id="14"/>
      <w:bookmarkEnd w:id="15"/>
    </w:p>
    <w:p>
      <w:pPr>
        <w:pStyle w:val="189"/>
        <w:keepNext/>
        <w:keepLines/>
        <w:numPr>
          <w:ilvl w:val="0"/>
          <w:numId w:val="2"/>
        </w:numPr>
        <w:spacing w:line="360" w:lineRule="auto"/>
        <w:outlineLvl w:val="1"/>
        <w:rPr>
          <w:rFonts w:ascii="Times New Roman" w:hAnsi="Times New Roman"/>
          <w:bCs/>
          <w:vanish/>
          <w:szCs w:val="32"/>
          <w:highlight w:val="none"/>
        </w:rPr>
      </w:pPr>
    </w:p>
    <w:p>
      <w:pPr>
        <w:pStyle w:val="4"/>
        <w:keepNext/>
        <w:keepLines/>
        <w:ind w:left="0" w:firstLine="420"/>
        <w:rPr>
          <w:highlight w:val="none"/>
        </w:rPr>
      </w:pPr>
      <w:r>
        <w:rPr>
          <w:rFonts w:hint="eastAsia"/>
          <w:highlight w:val="none"/>
        </w:rPr>
        <w:t>订立本协议的依据</w:t>
      </w:r>
    </w:p>
    <w:p>
      <w:pPr>
        <w:keepNext/>
        <w:keepLines/>
        <w:spacing w:line="360" w:lineRule="auto"/>
        <w:ind w:firstLine="420"/>
        <w:rPr>
          <w:sz w:val="24"/>
          <w:highlight w:val="none"/>
        </w:rPr>
      </w:pPr>
      <w:r>
        <w:rPr>
          <w:rFonts w:hint="eastAsia"/>
          <w:sz w:val="24"/>
          <w:highlight w:val="none"/>
        </w:rPr>
        <w:t>本协议依据《商业银行理财业务监督管理办法》、《商业银行理财子公司管理办法》、《中国银行业协会商业银行资产托管业务指引》及其他有关法律、法规、规定和理财产品文件制订。</w:t>
      </w:r>
    </w:p>
    <w:p>
      <w:pPr>
        <w:pStyle w:val="4"/>
        <w:keepNext/>
        <w:keepLines/>
        <w:ind w:left="0" w:firstLine="420"/>
        <w:rPr>
          <w:highlight w:val="none"/>
        </w:rPr>
      </w:pPr>
      <w:r>
        <w:rPr>
          <w:rFonts w:hint="eastAsia"/>
          <w:highlight w:val="none"/>
        </w:rPr>
        <w:t>订立本协议的目的</w:t>
      </w:r>
    </w:p>
    <w:p>
      <w:pPr>
        <w:keepNext/>
        <w:keepLines/>
        <w:spacing w:line="360" w:lineRule="auto"/>
        <w:ind w:firstLine="420"/>
        <w:rPr>
          <w:sz w:val="24"/>
          <w:highlight w:val="none"/>
        </w:rPr>
      </w:pPr>
      <w:r>
        <w:rPr>
          <w:rFonts w:hint="eastAsia"/>
          <w:sz w:val="24"/>
          <w:highlight w:val="none"/>
        </w:rPr>
        <w:t>订立本协议的目的是为了明确管理人、托管人之间在理财资产的托管、估值、资金清算交收及相互监督等相关事宜中的权利、义务及职责，保护理财产品受益人的合法权益。</w:t>
      </w:r>
    </w:p>
    <w:p>
      <w:pPr>
        <w:pStyle w:val="4"/>
        <w:keepNext/>
        <w:keepLines/>
        <w:ind w:left="0" w:firstLine="420"/>
        <w:rPr>
          <w:highlight w:val="none"/>
        </w:rPr>
      </w:pPr>
      <w:r>
        <w:rPr>
          <w:rFonts w:hint="eastAsia"/>
          <w:highlight w:val="none"/>
        </w:rPr>
        <w:t>订立本协议的原则</w:t>
      </w:r>
    </w:p>
    <w:p>
      <w:pPr>
        <w:keepNext/>
        <w:keepLines/>
        <w:spacing w:line="360" w:lineRule="auto"/>
        <w:ind w:firstLine="420"/>
        <w:rPr>
          <w:rFonts w:ascii="宋体" w:hAnsi="宋体" w:cs="宋体"/>
          <w:sz w:val="24"/>
          <w:highlight w:val="none"/>
        </w:rPr>
      </w:pPr>
      <w:r>
        <w:rPr>
          <w:rFonts w:hint="eastAsia" w:ascii="宋体" w:hAnsi="宋体" w:cs="宋体"/>
          <w:sz w:val="24"/>
          <w:highlight w:val="none"/>
        </w:rPr>
        <w:t>甲方、乙方本着平等自愿、诚实信用的原则，经协商一致，签订本协议。</w:t>
      </w:r>
    </w:p>
    <w:p>
      <w:pPr>
        <w:pStyle w:val="3"/>
        <w:rPr>
          <w:szCs w:val="28"/>
          <w:highlight w:val="none"/>
        </w:rPr>
      </w:pPr>
      <w:bookmarkStart w:id="16" w:name="_Toc127449895"/>
      <w:bookmarkStart w:id="17" w:name="_Toc13046"/>
      <w:bookmarkStart w:id="18" w:name="_Toc16241"/>
      <w:bookmarkStart w:id="19" w:name="_Toc18488"/>
      <w:bookmarkStart w:id="20" w:name="_Toc17889"/>
      <w:bookmarkStart w:id="21" w:name="_Toc25535"/>
      <w:bookmarkStart w:id="22" w:name="_Toc8811"/>
      <w:bookmarkStart w:id="23" w:name="_Toc12711"/>
      <w:r>
        <w:rPr>
          <w:rFonts w:hint="eastAsia"/>
          <w:szCs w:val="28"/>
          <w:highlight w:val="none"/>
        </w:rPr>
        <w:t>协议各方声明与保证</w:t>
      </w:r>
      <w:bookmarkEnd w:id="16"/>
      <w:bookmarkEnd w:id="17"/>
      <w:bookmarkEnd w:id="18"/>
      <w:bookmarkEnd w:id="19"/>
      <w:bookmarkEnd w:id="20"/>
      <w:bookmarkEnd w:id="21"/>
      <w:bookmarkEnd w:id="22"/>
      <w:bookmarkEnd w:id="23"/>
    </w:p>
    <w:p>
      <w:pPr>
        <w:pStyle w:val="189"/>
        <w:keepNext/>
        <w:keepLines/>
        <w:numPr>
          <w:ilvl w:val="0"/>
          <w:numId w:val="2"/>
        </w:numPr>
        <w:spacing w:line="360" w:lineRule="auto"/>
        <w:outlineLvl w:val="1"/>
        <w:rPr>
          <w:rFonts w:ascii="Times New Roman" w:hAnsi="Times New Roman"/>
          <w:bCs/>
          <w:vanish/>
          <w:szCs w:val="32"/>
          <w:highlight w:val="none"/>
        </w:rPr>
      </w:pPr>
    </w:p>
    <w:p>
      <w:pPr>
        <w:pStyle w:val="4"/>
        <w:keepNext/>
        <w:keepLines/>
        <w:ind w:left="0" w:firstLine="420"/>
        <w:rPr>
          <w:highlight w:val="none"/>
        </w:rPr>
      </w:pPr>
      <w:r>
        <w:rPr>
          <w:rFonts w:hint="eastAsia"/>
          <w:highlight w:val="none"/>
        </w:rPr>
        <w:t>甲方声明与保证</w:t>
      </w:r>
    </w:p>
    <w:p>
      <w:pPr>
        <w:pStyle w:val="5"/>
        <w:keepNext/>
        <w:keepLines/>
        <w:ind w:firstLine="420"/>
        <w:rPr>
          <w:highlight w:val="none"/>
        </w:rPr>
      </w:pPr>
      <w:r>
        <w:rPr>
          <w:rFonts w:hint="eastAsia"/>
          <w:highlight w:val="none"/>
        </w:rPr>
        <w:t>甲方具备签署和履行本协议的权利能力和行为能力；</w:t>
      </w:r>
    </w:p>
    <w:p>
      <w:pPr>
        <w:pStyle w:val="5"/>
        <w:keepNext/>
        <w:keepLines/>
        <w:ind w:firstLine="420"/>
        <w:rPr>
          <w:highlight w:val="none"/>
        </w:rPr>
      </w:pPr>
      <w:r>
        <w:rPr>
          <w:rFonts w:hint="eastAsia"/>
          <w:highlight w:val="none"/>
        </w:rPr>
        <w:t>甲方签署本协议、履行其在本协议项下的义务、行使其在本协议项下的权利，不会违反甲方章程，不会违反以甲方为主体的任何合同、契约，以及适用于甲方的任何判决、裁定、授权、协议等法律文件；</w:t>
      </w:r>
    </w:p>
    <w:p>
      <w:pPr>
        <w:pStyle w:val="5"/>
        <w:keepNext/>
        <w:keepLines/>
        <w:ind w:firstLine="420"/>
        <w:rPr>
          <w:highlight w:val="none"/>
        </w:rPr>
      </w:pPr>
      <w:r>
        <w:rPr>
          <w:rFonts w:hint="eastAsia"/>
          <w:highlight w:val="none"/>
        </w:rPr>
        <w:t>甲方进一步声明并保证，前述声明与保证在本协议有效期内将根据当时的事实及情况始终真实。</w:t>
      </w:r>
    </w:p>
    <w:p>
      <w:pPr>
        <w:pStyle w:val="4"/>
        <w:keepNext/>
        <w:keepLines/>
        <w:ind w:left="0" w:firstLine="420"/>
        <w:rPr>
          <w:highlight w:val="none"/>
        </w:rPr>
      </w:pPr>
      <w:r>
        <w:rPr>
          <w:rFonts w:hint="eastAsia"/>
          <w:highlight w:val="none"/>
        </w:rPr>
        <w:t>乙方声明与保证</w:t>
      </w:r>
    </w:p>
    <w:p>
      <w:pPr>
        <w:pStyle w:val="5"/>
        <w:keepNext/>
        <w:keepLines/>
        <w:ind w:firstLine="420"/>
        <w:rPr>
          <w:highlight w:val="none"/>
        </w:rPr>
      </w:pPr>
      <w:r>
        <w:rPr>
          <w:rFonts w:hint="eastAsia"/>
          <w:highlight w:val="none"/>
        </w:rPr>
        <w:t>乙方具备签署和履行本协议的权利能力和行为能力；</w:t>
      </w:r>
    </w:p>
    <w:p>
      <w:pPr>
        <w:pStyle w:val="5"/>
        <w:keepNext/>
        <w:keepLines/>
        <w:ind w:firstLine="420"/>
        <w:rPr>
          <w:highlight w:val="none"/>
        </w:rPr>
      </w:pPr>
      <w:r>
        <w:rPr>
          <w:rFonts w:hint="eastAsia"/>
          <w:highlight w:val="none"/>
        </w:rPr>
        <w:t>乙方签署本协议、履行其在本协议项下的义务、行使其在本协议项下的权利，不会违反乙方章程，不会违反以乙方为主体的任何合同、契约，以及适用于乙方的任何判决、裁定、授权、协议等法律文件；</w:t>
      </w:r>
    </w:p>
    <w:p>
      <w:pPr>
        <w:pStyle w:val="5"/>
        <w:keepNext/>
        <w:keepLines/>
        <w:ind w:firstLine="420"/>
        <w:rPr>
          <w:highlight w:val="none"/>
        </w:rPr>
      </w:pPr>
      <w:r>
        <w:rPr>
          <w:rFonts w:hint="eastAsia"/>
          <w:highlight w:val="none"/>
        </w:rPr>
        <w:t>乙方进一步声明并保证，前述声明与保证在本协议有效期内将根据当时的事实及情况始终真实。</w:t>
      </w:r>
    </w:p>
    <w:p>
      <w:pPr>
        <w:pStyle w:val="3"/>
        <w:rPr>
          <w:szCs w:val="28"/>
          <w:highlight w:val="none"/>
        </w:rPr>
      </w:pPr>
      <w:bookmarkStart w:id="24" w:name="_Toc9888"/>
      <w:bookmarkStart w:id="25" w:name="_Toc12670"/>
      <w:bookmarkStart w:id="26" w:name="_Toc18909"/>
      <w:bookmarkStart w:id="27" w:name="_Toc31544"/>
      <w:bookmarkStart w:id="28" w:name="_Toc29086"/>
      <w:bookmarkStart w:id="29" w:name="_Toc17254"/>
      <w:bookmarkStart w:id="30" w:name="_Toc127449896"/>
      <w:bookmarkStart w:id="31" w:name="_Toc23790"/>
      <w:r>
        <w:rPr>
          <w:rFonts w:hint="eastAsia"/>
          <w:szCs w:val="28"/>
          <w:highlight w:val="none"/>
        </w:rPr>
        <w:t>当事人权利与义务</w:t>
      </w:r>
      <w:bookmarkEnd w:id="24"/>
      <w:bookmarkEnd w:id="25"/>
      <w:bookmarkEnd w:id="26"/>
      <w:bookmarkEnd w:id="27"/>
      <w:bookmarkEnd w:id="28"/>
      <w:bookmarkEnd w:id="29"/>
      <w:bookmarkEnd w:id="30"/>
      <w:bookmarkEnd w:id="31"/>
    </w:p>
    <w:p>
      <w:pPr>
        <w:pStyle w:val="189"/>
        <w:keepNext/>
        <w:keepLines/>
        <w:numPr>
          <w:ilvl w:val="0"/>
          <w:numId w:val="2"/>
        </w:numPr>
        <w:spacing w:line="360" w:lineRule="auto"/>
        <w:outlineLvl w:val="1"/>
        <w:rPr>
          <w:rFonts w:ascii="Times New Roman" w:hAnsi="Times New Roman"/>
          <w:bCs/>
          <w:vanish/>
          <w:szCs w:val="32"/>
          <w:highlight w:val="none"/>
        </w:rPr>
      </w:pPr>
    </w:p>
    <w:p>
      <w:pPr>
        <w:pStyle w:val="4"/>
        <w:keepNext/>
        <w:keepLines/>
        <w:ind w:left="0" w:firstLine="420"/>
        <w:rPr>
          <w:highlight w:val="none"/>
        </w:rPr>
      </w:pPr>
      <w:r>
        <w:rPr>
          <w:rFonts w:hint="eastAsia"/>
          <w:highlight w:val="none"/>
        </w:rPr>
        <w:t>甲方的权利与义务</w:t>
      </w:r>
    </w:p>
    <w:p>
      <w:pPr>
        <w:pStyle w:val="5"/>
        <w:keepNext/>
        <w:keepLines/>
        <w:ind w:firstLine="420"/>
        <w:rPr>
          <w:rFonts w:hint="eastAsia"/>
          <w:highlight w:val="none"/>
        </w:rPr>
      </w:pPr>
      <w:r>
        <w:rPr>
          <w:rFonts w:hint="eastAsia"/>
          <w:highlight w:val="none"/>
        </w:rPr>
        <w:t>甲方的权利</w:t>
      </w:r>
    </w:p>
    <w:p>
      <w:pPr>
        <w:pStyle w:val="7"/>
        <w:ind w:left="0" w:firstLine="420"/>
        <w:rPr>
          <w:rFonts w:hint="eastAsia"/>
          <w:highlight w:val="none"/>
        </w:rPr>
      </w:pPr>
      <w:r>
        <w:rPr>
          <w:rFonts w:hint="eastAsia"/>
          <w:highlight w:val="none"/>
        </w:rPr>
        <w:t>依照诚实信用、勤勉尽责的原则，谨慎、有效管理和运用理财产品财产；</w:t>
      </w:r>
    </w:p>
    <w:p>
      <w:pPr>
        <w:pStyle w:val="7"/>
        <w:ind w:left="0" w:firstLine="420"/>
        <w:rPr>
          <w:highlight w:val="none"/>
        </w:rPr>
      </w:pPr>
      <w:r>
        <w:rPr>
          <w:rFonts w:hint="eastAsia"/>
          <w:highlight w:val="none"/>
        </w:rPr>
        <w:t>根据理财产品文件的要求和本协议的规定，向乙方发出托管账户划款指令；</w:t>
      </w:r>
    </w:p>
    <w:p>
      <w:pPr>
        <w:pStyle w:val="7"/>
        <w:ind w:left="0" w:firstLine="420"/>
        <w:rPr>
          <w:highlight w:val="none"/>
        </w:rPr>
      </w:pPr>
      <w:r>
        <w:rPr>
          <w:rFonts w:hint="eastAsia"/>
          <w:highlight w:val="none"/>
        </w:rPr>
        <w:t>依据理财产品文件及有关法律规定监督乙方，如认为乙方违反了国家有关法律法规或本协议的有关规定，并对投资者利益造成重大损失的，有权呈报国家金融监督管理总局，或采取其他必要措施保护投资者的利益；</w:t>
      </w:r>
    </w:p>
    <w:p>
      <w:pPr>
        <w:pStyle w:val="7"/>
        <w:ind w:left="0" w:firstLine="420"/>
        <w:rPr>
          <w:highlight w:val="none"/>
        </w:rPr>
      </w:pPr>
      <w:r>
        <w:rPr>
          <w:rFonts w:hint="eastAsia"/>
          <w:highlight w:val="none"/>
        </w:rPr>
        <w:t>在符合本协议要求的情况下终止本协议；</w:t>
      </w:r>
    </w:p>
    <w:p>
      <w:pPr>
        <w:pStyle w:val="7"/>
        <w:ind w:left="0" w:firstLine="420"/>
        <w:rPr>
          <w:highlight w:val="none"/>
        </w:rPr>
      </w:pPr>
      <w:r>
        <w:rPr>
          <w:rFonts w:hint="eastAsia"/>
          <w:highlight w:val="none"/>
        </w:rPr>
        <w:t>法律法规、理财产品文件以及依据理财产品文件制订的其他法律文件所规定的其他权利。</w:t>
      </w:r>
    </w:p>
    <w:p>
      <w:pPr>
        <w:pStyle w:val="5"/>
        <w:keepNext/>
        <w:keepLines/>
        <w:ind w:firstLine="420"/>
        <w:rPr>
          <w:highlight w:val="none"/>
        </w:rPr>
      </w:pPr>
      <w:r>
        <w:rPr>
          <w:rFonts w:hint="eastAsia"/>
          <w:highlight w:val="none"/>
        </w:rPr>
        <w:t>甲方的义务</w:t>
      </w:r>
    </w:p>
    <w:p>
      <w:pPr>
        <w:pStyle w:val="7"/>
        <w:keepNext/>
        <w:keepLines/>
        <w:numPr>
          <w:ilvl w:val="0"/>
          <w:numId w:val="4"/>
        </w:numPr>
        <w:ind w:left="0" w:firstLine="420"/>
        <w:rPr>
          <w:highlight w:val="none"/>
        </w:rPr>
      </w:pPr>
      <w:r>
        <w:rPr>
          <w:rFonts w:hint="eastAsia"/>
          <w:highlight w:val="none"/>
        </w:rPr>
        <w:t>遵守理财产品文件及本协议的相关规定；保证提供给乙方的一切文件资料均为真实、完整、准确、合法、有效，没有任何重大遗漏或误导，并保证本协议与相关理财文件之间不存在任何的冲突；</w:t>
      </w:r>
    </w:p>
    <w:p>
      <w:pPr>
        <w:pStyle w:val="7"/>
        <w:keepNext/>
        <w:keepLines/>
        <w:numPr>
          <w:ilvl w:val="0"/>
          <w:numId w:val="4"/>
        </w:numPr>
        <w:ind w:left="0" w:firstLine="420"/>
        <w:rPr>
          <w:highlight w:val="none"/>
        </w:rPr>
      </w:pPr>
      <w:r>
        <w:rPr>
          <w:rFonts w:hint="eastAsia"/>
          <w:highlight w:val="none"/>
        </w:rPr>
        <w:t>办理理财产品相关账户的开立；</w:t>
      </w:r>
    </w:p>
    <w:p>
      <w:pPr>
        <w:pStyle w:val="7"/>
        <w:keepNext/>
        <w:keepLines/>
        <w:numPr>
          <w:ilvl w:val="0"/>
          <w:numId w:val="4"/>
        </w:numPr>
        <w:ind w:left="0" w:firstLine="420"/>
        <w:rPr>
          <w:highlight w:val="none"/>
        </w:rPr>
      </w:pPr>
      <w:r>
        <w:rPr>
          <w:rFonts w:hint="eastAsia"/>
          <w:highlight w:val="none"/>
        </w:rPr>
        <w:t>及时完整地向乙方移交理财资金，保证移交给乙方、由乙方托管的是由甲方根据理财产品合同合法募集的资金；</w:t>
      </w:r>
    </w:p>
    <w:p>
      <w:pPr>
        <w:pStyle w:val="7"/>
        <w:keepNext/>
        <w:keepLines/>
        <w:numPr>
          <w:ilvl w:val="0"/>
          <w:numId w:val="4"/>
        </w:numPr>
        <w:ind w:left="0" w:firstLine="420"/>
        <w:rPr>
          <w:highlight w:val="none"/>
        </w:rPr>
      </w:pPr>
      <w:r>
        <w:rPr>
          <w:rFonts w:hint="eastAsia"/>
          <w:highlight w:val="none"/>
        </w:rPr>
        <w:t>根据本协议的规定，及时向乙方发送划款指令，进行清算交收资金的划拨，并确保发送给乙方的任何指令信息、证明文件都真实、完整、准确、合法，符合理财产品文件、交易文件的规定，不存在遗漏和误导；</w:t>
      </w:r>
    </w:p>
    <w:p>
      <w:pPr>
        <w:pStyle w:val="7"/>
        <w:keepNext/>
        <w:keepLines/>
        <w:numPr>
          <w:ilvl w:val="0"/>
          <w:numId w:val="4"/>
        </w:numPr>
        <w:ind w:left="0" w:firstLine="420"/>
        <w:rPr>
          <w:rStyle w:val="36"/>
          <w:rFonts w:ascii="Calibri" w:hAnsi="Calibri" w:cs="Calibri"/>
          <w:bCs w:val="0"/>
          <w:highlight w:val="none"/>
        </w:rPr>
      </w:pPr>
      <w:r>
        <w:rPr>
          <w:rFonts w:hint="eastAsia"/>
          <w:highlight w:val="none"/>
        </w:rPr>
        <w:t>严格按照《商业银行理财业务监督管理办法》、理财产品文件及其他有关规定，履行信息披露及报告义务；</w:t>
      </w:r>
    </w:p>
    <w:p>
      <w:pPr>
        <w:pStyle w:val="7"/>
        <w:keepNext/>
        <w:keepLines/>
        <w:numPr>
          <w:ilvl w:val="0"/>
          <w:numId w:val="4"/>
        </w:numPr>
        <w:ind w:left="0" w:firstLine="420"/>
        <w:rPr>
          <w:highlight w:val="none"/>
        </w:rPr>
      </w:pPr>
      <w:r>
        <w:rPr>
          <w:rFonts w:hint="eastAsia"/>
          <w:highlight w:val="none"/>
        </w:rPr>
        <w:t>接受投资者委托，按照与投资者事先约定的投资策略、风险承担和收益分配方式，对受托的投资者财产进行投资和管理；</w:t>
      </w:r>
    </w:p>
    <w:p>
      <w:pPr>
        <w:pStyle w:val="7"/>
        <w:keepNext/>
        <w:keepLines/>
        <w:numPr>
          <w:ilvl w:val="0"/>
          <w:numId w:val="4"/>
        </w:numPr>
        <w:ind w:left="0" w:firstLine="420"/>
        <w:rPr>
          <w:highlight w:val="none"/>
        </w:rPr>
      </w:pPr>
      <w:r>
        <w:rPr>
          <w:rFonts w:hint="eastAsia"/>
          <w:highlight w:val="none"/>
        </w:rPr>
        <w:t>保守商业秘密，不得泄露理财产品投资计划、投资意向等。除理财产品文件及其他有关规定另有规定外，在向投资者披露相关信息前应予保密，不得向他人泄露；</w:t>
      </w:r>
    </w:p>
    <w:p>
      <w:pPr>
        <w:pStyle w:val="7"/>
        <w:keepNext/>
        <w:keepLines/>
        <w:numPr>
          <w:ilvl w:val="0"/>
          <w:numId w:val="4"/>
        </w:numPr>
        <w:ind w:left="0" w:firstLine="420"/>
        <w:rPr>
          <w:highlight w:val="none"/>
        </w:rPr>
      </w:pPr>
      <w:r>
        <w:rPr>
          <w:rFonts w:hint="eastAsia"/>
          <w:highlight w:val="none"/>
        </w:rPr>
        <w:t>保管理财产品财产投资活动的记录、账册、报表和其他相关资料15年以上；</w:t>
      </w:r>
    </w:p>
    <w:p>
      <w:pPr>
        <w:pStyle w:val="7"/>
        <w:keepNext/>
        <w:keepLines/>
        <w:numPr>
          <w:ilvl w:val="0"/>
          <w:numId w:val="4"/>
        </w:numPr>
        <w:ind w:left="0" w:firstLine="420"/>
        <w:rPr>
          <w:highlight w:val="none"/>
        </w:rPr>
      </w:pPr>
      <w:r>
        <w:rPr>
          <w:rFonts w:hint="eastAsia"/>
          <w:highlight w:val="none"/>
        </w:rPr>
        <w:t>根据理财产品文件、交易文件以及本协议的规定，及时向乙方提供理财产品交易文件以及理财产品财产权利的行使依据原件或扫描件，并确保提交文件的始终有效性、真实性、完整性、准确性；</w:t>
      </w:r>
    </w:p>
    <w:p>
      <w:pPr>
        <w:pStyle w:val="7"/>
        <w:keepNext/>
        <w:keepLines/>
        <w:numPr>
          <w:ilvl w:val="0"/>
          <w:numId w:val="4"/>
        </w:numPr>
        <w:ind w:left="0" w:firstLine="420"/>
        <w:rPr>
          <w:highlight w:val="none"/>
        </w:rPr>
      </w:pPr>
      <w:r>
        <w:rPr>
          <w:rFonts w:hint="eastAsia"/>
          <w:highlight w:val="none"/>
        </w:rPr>
        <w:t>甲方应根据理财产品文件、交易文件的规定，及时将场外交易（除银行间交易外）的理财产品权益应收资金的收取金额及日期，通过书面形式通知乙方，并监督交易对手方将理财产品权益应收资金及时、准确地直接划入银行托管账户；</w:t>
      </w:r>
    </w:p>
    <w:p>
      <w:pPr>
        <w:pStyle w:val="7"/>
        <w:keepNext/>
        <w:keepLines/>
        <w:numPr>
          <w:ilvl w:val="0"/>
          <w:numId w:val="4"/>
        </w:numPr>
        <w:ind w:left="0" w:firstLine="420"/>
        <w:rPr>
          <w:highlight w:val="none"/>
        </w:rPr>
      </w:pPr>
      <w:r>
        <w:rPr>
          <w:rFonts w:hint="eastAsia"/>
          <w:highlight w:val="none"/>
        </w:rPr>
        <w:t>根据本协议的规定及时、足额向乙方支付托管费及双方约定的任何其他合理费用；</w:t>
      </w:r>
    </w:p>
    <w:p>
      <w:pPr>
        <w:pStyle w:val="7"/>
        <w:keepNext/>
        <w:keepLines/>
        <w:numPr>
          <w:ilvl w:val="0"/>
          <w:numId w:val="4"/>
        </w:numPr>
        <w:ind w:left="0" w:firstLine="420"/>
        <w:rPr>
          <w:highlight w:val="none"/>
        </w:rPr>
      </w:pPr>
      <w:r>
        <w:rPr>
          <w:rFonts w:hint="eastAsia"/>
          <w:highlight w:val="none"/>
        </w:rPr>
        <w:t>在兑付理财产品资金及收益时，甲方应当保证理财产品资金及收益返回委托人的原账户、同名账户或者合同约定的受益人账户；</w:t>
      </w:r>
    </w:p>
    <w:p>
      <w:pPr>
        <w:pStyle w:val="7"/>
        <w:keepNext/>
        <w:keepLines/>
        <w:numPr>
          <w:ilvl w:val="0"/>
          <w:numId w:val="4"/>
        </w:numPr>
        <w:ind w:left="0" w:firstLine="420"/>
        <w:rPr>
          <w:highlight w:val="none"/>
        </w:rPr>
      </w:pPr>
      <w:r>
        <w:rPr>
          <w:rFonts w:hint="eastAsia"/>
          <w:highlight w:val="none"/>
        </w:rPr>
        <w:t>保证所管理的理财产品财产和甲方的财产相互独立，对所管理的不同理财产品分别管理，分别进行投资；</w:t>
      </w:r>
    </w:p>
    <w:p>
      <w:pPr>
        <w:pStyle w:val="7"/>
        <w:keepNext/>
        <w:keepLines/>
        <w:numPr>
          <w:ilvl w:val="0"/>
          <w:numId w:val="4"/>
        </w:numPr>
        <w:ind w:left="0" w:firstLine="420"/>
        <w:rPr>
          <w:highlight w:val="none"/>
        </w:rPr>
      </w:pPr>
      <w:r>
        <w:rPr>
          <w:rFonts w:hint="eastAsia"/>
          <w:highlight w:val="none"/>
        </w:rPr>
        <w:t>（适用于甲方聘请估值外包机构进行估值服务的产品）甲方根据相关法律法规和授权文件，委托第三方服务机构为其提供估值核算服务。对于该服务机构在授权范围内实施的行为，甲方不得否认其效力，该等行为产生的法律后果由甲方承担。理财产品投资运作管理过程中，甲方应确保该服务机构按本协议履行相关职责义务，乙方不承担因该服务机构违反本协议约定所导致的风险和损失。如乙方与该服务机构无法达成一致的，乙方应当通知甲方，并执行甲方的意见，乙方不承担由此产生的延迟履行导致的风险或损失。”</w:t>
      </w:r>
    </w:p>
    <w:p>
      <w:pPr>
        <w:pStyle w:val="7"/>
        <w:keepNext/>
        <w:keepLines/>
        <w:numPr>
          <w:ilvl w:val="0"/>
          <w:numId w:val="4"/>
        </w:numPr>
        <w:ind w:left="0" w:firstLine="420"/>
        <w:rPr>
          <w:highlight w:val="none"/>
        </w:rPr>
      </w:pPr>
      <w:r>
        <w:rPr>
          <w:rFonts w:hint="eastAsia"/>
          <w:highlight w:val="none"/>
        </w:rPr>
        <w:t>发生任何可能导致理财产品业务性质或范围发生重大变化或直接影响托管业务的重大事项时，须提前三个工作日通知乙方；</w:t>
      </w:r>
    </w:p>
    <w:p>
      <w:pPr>
        <w:pStyle w:val="7"/>
        <w:keepNext/>
        <w:keepLines/>
        <w:numPr>
          <w:ilvl w:val="0"/>
          <w:numId w:val="4"/>
        </w:numPr>
        <w:ind w:left="0" w:firstLine="420"/>
        <w:rPr>
          <w:highlight w:val="none"/>
        </w:rPr>
      </w:pPr>
      <w:r>
        <w:rPr>
          <w:rFonts w:hint="eastAsia"/>
          <w:highlight w:val="none"/>
        </w:rPr>
        <w:t>除法律、行政法规和监管部门同时发送（含抄送）至乙方和甲方的部门规章、通知、决定、文件外，对于理财产品应遵守的监管部门仅发送至甲方的与理财产品资金托管业务有关的部门规章、通知、决定、文件等规定，甲方有义务及时向乙方书面提供；</w:t>
      </w:r>
    </w:p>
    <w:p>
      <w:pPr>
        <w:pStyle w:val="7"/>
        <w:keepNext/>
        <w:keepLines/>
        <w:numPr>
          <w:ilvl w:val="0"/>
          <w:numId w:val="4"/>
        </w:numPr>
        <w:ind w:left="0" w:firstLine="420"/>
        <w:rPr>
          <w:highlight w:val="none"/>
        </w:rPr>
      </w:pPr>
      <w:r>
        <w:rPr>
          <w:rFonts w:hint="eastAsia"/>
          <w:highlight w:val="none"/>
        </w:rPr>
        <w:t>甲方应当按照法律、行政法规和国家有关部门的规定办理理财产品财产承担的税、费；</w:t>
      </w:r>
    </w:p>
    <w:p>
      <w:pPr>
        <w:pStyle w:val="7"/>
        <w:keepNext/>
        <w:keepLines/>
        <w:numPr>
          <w:ilvl w:val="0"/>
          <w:numId w:val="4"/>
        </w:numPr>
        <w:snapToGrid w:val="0"/>
        <w:ind w:left="0" w:firstLine="420"/>
        <w:rPr>
          <w:highlight w:val="none"/>
          <w:shd w:val="clear" w:color="auto" w:fill="FFFFFF"/>
        </w:rPr>
      </w:pPr>
      <w:r>
        <w:rPr>
          <w:rFonts w:hint="eastAsia"/>
          <w:highlight w:val="none"/>
          <w:shd w:val="clear" w:color="auto" w:fill="FFFFFF"/>
        </w:rPr>
        <w:t>除必要的披露及监管要求外，不得以</w:t>
      </w:r>
      <w:r>
        <w:rPr>
          <w:rFonts w:hint="eastAsia"/>
          <w:highlight w:val="none"/>
        </w:rPr>
        <w:t>乙方</w:t>
      </w:r>
      <w:r>
        <w:rPr>
          <w:rFonts w:hint="eastAsia"/>
          <w:highlight w:val="none"/>
          <w:shd w:val="clear" w:color="auto" w:fill="FFFFFF"/>
        </w:rPr>
        <w:t>的名义做营销宣传。</w:t>
      </w:r>
    </w:p>
    <w:p>
      <w:pPr>
        <w:pStyle w:val="7"/>
        <w:keepNext/>
        <w:keepLines/>
        <w:numPr>
          <w:ilvl w:val="0"/>
          <w:numId w:val="4"/>
        </w:numPr>
        <w:ind w:left="0" w:firstLine="420"/>
        <w:rPr>
          <w:highlight w:val="none"/>
        </w:rPr>
      </w:pPr>
      <w:r>
        <w:rPr>
          <w:rFonts w:hint="eastAsia"/>
          <w:highlight w:val="none"/>
        </w:rPr>
        <w:t>法律法规及理财产品销售文件规定的其他义务。</w:t>
      </w:r>
    </w:p>
    <w:p>
      <w:pPr>
        <w:pStyle w:val="4"/>
        <w:keepNext/>
        <w:keepLines/>
        <w:ind w:left="0" w:firstLine="420"/>
        <w:rPr>
          <w:highlight w:val="none"/>
        </w:rPr>
      </w:pPr>
      <w:r>
        <w:rPr>
          <w:rFonts w:hint="eastAsia"/>
          <w:highlight w:val="none"/>
        </w:rPr>
        <w:t>乙方的权利和义务</w:t>
      </w:r>
    </w:p>
    <w:p>
      <w:pPr>
        <w:pStyle w:val="5"/>
        <w:keepNext/>
        <w:keepLines/>
        <w:ind w:firstLine="420"/>
        <w:rPr>
          <w:highlight w:val="none"/>
        </w:rPr>
      </w:pPr>
      <w:r>
        <w:rPr>
          <w:rFonts w:hint="eastAsia"/>
          <w:highlight w:val="none"/>
        </w:rPr>
        <w:t>乙方的权利：</w:t>
      </w:r>
    </w:p>
    <w:p>
      <w:pPr>
        <w:pStyle w:val="7"/>
        <w:numPr>
          <w:ilvl w:val="0"/>
          <w:numId w:val="5"/>
        </w:numPr>
        <w:ind w:left="0" w:firstLine="420"/>
        <w:rPr>
          <w:highlight w:val="none"/>
        </w:rPr>
      </w:pPr>
      <w:r>
        <w:rPr>
          <w:rFonts w:hint="eastAsia"/>
          <w:highlight w:val="none"/>
        </w:rPr>
        <w:t>依照本协议及其附件的约定及时、足额收取托管费及双方约定的任何其他合理费用；</w:t>
      </w:r>
    </w:p>
    <w:p>
      <w:pPr>
        <w:pStyle w:val="7"/>
        <w:numPr>
          <w:ilvl w:val="0"/>
          <w:numId w:val="5"/>
        </w:numPr>
        <w:ind w:left="0" w:firstLine="420"/>
        <w:rPr>
          <w:highlight w:val="none"/>
        </w:rPr>
      </w:pPr>
      <w:r>
        <w:rPr>
          <w:rFonts w:hint="eastAsia"/>
          <w:highlight w:val="none"/>
        </w:rPr>
        <w:t>按事先约定的方式，接收甲方发送的场外交易交割单、对账单；</w:t>
      </w:r>
    </w:p>
    <w:p>
      <w:pPr>
        <w:pStyle w:val="7"/>
        <w:numPr>
          <w:ilvl w:val="0"/>
          <w:numId w:val="5"/>
        </w:numPr>
        <w:ind w:left="0" w:firstLine="420"/>
        <w:rPr>
          <w:highlight w:val="none"/>
        </w:rPr>
      </w:pPr>
      <w:r>
        <w:rPr>
          <w:rFonts w:hint="eastAsia"/>
          <w:highlight w:val="none"/>
        </w:rPr>
        <w:t xml:space="preserve">对甲方执行本协议的情况进行投资监督；如认为甲方违反了法律法规、本协议及其附件的规定，对托管资产造成重大损失的，有权呈报中国金融监督管理总局，以及采取其他必要措施以保护托管资产的利益； </w:t>
      </w:r>
    </w:p>
    <w:p>
      <w:pPr>
        <w:pStyle w:val="7"/>
        <w:numPr>
          <w:ilvl w:val="0"/>
          <w:numId w:val="5"/>
        </w:numPr>
        <w:ind w:left="0" w:firstLine="420"/>
        <w:rPr>
          <w:highlight w:val="none"/>
        </w:rPr>
      </w:pPr>
      <w:r>
        <w:rPr>
          <w:rFonts w:hint="eastAsia"/>
          <w:highlight w:val="none"/>
        </w:rPr>
        <w:t>在符合相关法律法规、中国银行业协会相关业务指引或本协议要求的情况下终止本协议；</w:t>
      </w:r>
    </w:p>
    <w:p>
      <w:pPr>
        <w:pStyle w:val="7"/>
        <w:numPr>
          <w:ilvl w:val="0"/>
          <w:numId w:val="5"/>
        </w:numPr>
        <w:ind w:left="0" w:firstLine="420"/>
        <w:rPr>
          <w:highlight w:val="none"/>
        </w:rPr>
      </w:pPr>
      <w:r>
        <w:rPr>
          <w:highlight w:val="none"/>
        </w:rPr>
        <w:t xml:space="preserve"> </w:t>
      </w:r>
      <w:r>
        <w:rPr>
          <w:rFonts w:hint="eastAsia"/>
          <w:highlight w:val="none"/>
        </w:rPr>
        <w:t>法律法规、以及依据本协议制定的其他法律文件所规定的其他权利。</w:t>
      </w:r>
    </w:p>
    <w:p>
      <w:pPr>
        <w:pStyle w:val="5"/>
        <w:keepNext/>
        <w:keepLines/>
        <w:ind w:firstLine="420"/>
        <w:rPr>
          <w:highlight w:val="none"/>
        </w:rPr>
      </w:pPr>
      <w:r>
        <w:rPr>
          <w:rFonts w:hint="eastAsia"/>
          <w:highlight w:val="none"/>
        </w:rPr>
        <w:t>乙方的义务：</w:t>
      </w:r>
    </w:p>
    <w:p>
      <w:pPr>
        <w:pStyle w:val="7"/>
        <w:keepNext/>
        <w:keepLines/>
        <w:numPr>
          <w:ilvl w:val="0"/>
          <w:numId w:val="6"/>
        </w:numPr>
        <w:ind w:left="0" w:firstLine="420"/>
        <w:rPr>
          <w:highlight w:val="none"/>
        </w:rPr>
      </w:pPr>
      <w:r>
        <w:rPr>
          <w:rFonts w:hint="eastAsia"/>
          <w:highlight w:val="none"/>
        </w:rPr>
        <w:t>安全保管理财产品财产；</w:t>
      </w:r>
    </w:p>
    <w:p>
      <w:pPr>
        <w:pStyle w:val="7"/>
        <w:keepNext/>
        <w:keepLines/>
        <w:numPr>
          <w:ilvl w:val="0"/>
          <w:numId w:val="6"/>
        </w:numPr>
        <w:ind w:left="0" w:firstLine="420"/>
        <w:rPr>
          <w:highlight w:val="none"/>
        </w:rPr>
      </w:pPr>
      <w:r>
        <w:rPr>
          <w:rFonts w:hint="eastAsia"/>
          <w:highlight w:val="none"/>
        </w:rPr>
        <w:t>确保托管资金安全，保证其托管的理财产品财产与乙方自有资产相互独立；为每只理财产品开设独立的托管账户，不同托管账户中的资产应当相互独立；</w:t>
      </w:r>
    </w:p>
    <w:p>
      <w:pPr>
        <w:pStyle w:val="7"/>
        <w:keepNext/>
        <w:keepLines/>
        <w:numPr>
          <w:ilvl w:val="0"/>
          <w:numId w:val="6"/>
        </w:numPr>
        <w:ind w:left="0" w:firstLine="420"/>
        <w:rPr>
          <w:highlight w:val="none"/>
        </w:rPr>
      </w:pPr>
      <w:r>
        <w:rPr>
          <w:rFonts w:hint="eastAsia"/>
          <w:highlight w:val="none"/>
        </w:rPr>
        <w:t>按照本协议约定</w:t>
      </w:r>
      <w:r>
        <w:rPr>
          <w:rFonts w:hint="eastAsia"/>
          <w:highlight w:val="none"/>
          <w:lang w:val="en-US" w:eastAsia="zh-CN"/>
        </w:rPr>
        <w:t>受理</w:t>
      </w:r>
      <w:r>
        <w:rPr>
          <w:rFonts w:hint="eastAsia"/>
          <w:highlight w:val="none"/>
        </w:rPr>
        <w:t>甲方的</w:t>
      </w:r>
      <w:r>
        <w:rPr>
          <w:rFonts w:hint="eastAsia"/>
          <w:highlight w:val="none"/>
          <w:lang w:val="en-US" w:eastAsia="zh-CN"/>
        </w:rPr>
        <w:t>划款</w:t>
      </w:r>
      <w:r>
        <w:rPr>
          <w:rFonts w:hint="eastAsia"/>
          <w:highlight w:val="none"/>
        </w:rPr>
        <w:t>指令，及时办理清算、交割事宜；乙方对甲方的符合本协议规定的划款指令不得拖延或拒绝执行，对于非乙方原因方造成划款指令无法正常执行的，乙方不承担责任；</w:t>
      </w:r>
    </w:p>
    <w:p>
      <w:pPr>
        <w:pStyle w:val="7"/>
        <w:keepNext/>
        <w:keepLines/>
        <w:numPr>
          <w:ilvl w:val="0"/>
          <w:numId w:val="6"/>
        </w:numPr>
        <w:ind w:left="0" w:firstLine="420"/>
        <w:rPr>
          <w:highlight w:val="none"/>
        </w:rPr>
      </w:pPr>
      <w:r>
        <w:rPr>
          <w:rFonts w:hint="eastAsia"/>
          <w:highlight w:val="none"/>
        </w:rPr>
        <w:t>建立与甲方的对账机制，复核、审查理财产品资金头寸、资产账目、资产净值、认购和赎回价格等数据，及时核查认购、赎回以及投资资金的支付和到账情况；</w:t>
      </w:r>
    </w:p>
    <w:p>
      <w:pPr>
        <w:pStyle w:val="7"/>
        <w:keepNext/>
        <w:keepLines/>
        <w:numPr>
          <w:ilvl w:val="0"/>
          <w:numId w:val="6"/>
        </w:numPr>
        <w:ind w:left="0" w:firstLine="420"/>
        <w:rPr>
          <w:highlight w:val="none"/>
        </w:rPr>
      </w:pPr>
      <w:r>
        <w:rPr>
          <w:highlight w:val="none"/>
        </w:rPr>
        <w:t>监督理财产品投资运作，发现理财产品违反法律、行政法规、规章规定或合同约定进行投资的，应当拒绝执行，及时通知</w:t>
      </w:r>
      <w:r>
        <w:rPr>
          <w:rFonts w:hint="eastAsia"/>
          <w:highlight w:val="none"/>
        </w:rPr>
        <w:t>甲方并报告银行业监督管理机构；</w:t>
      </w:r>
    </w:p>
    <w:p>
      <w:pPr>
        <w:pStyle w:val="7"/>
        <w:keepNext/>
        <w:keepLines/>
        <w:numPr>
          <w:ilvl w:val="0"/>
          <w:numId w:val="6"/>
        </w:numPr>
        <w:ind w:left="0" w:firstLine="420"/>
        <w:rPr>
          <w:highlight w:val="none"/>
        </w:rPr>
      </w:pPr>
      <w:r>
        <w:rPr>
          <w:highlight w:val="none"/>
        </w:rPr>
        <w:t>办理与理财产品托管业务活动相关的信息披露事项，包括对理财产品信息披露文件中的理财产品财务会计报告等出具意见，以及在公募理财产品半年度和年度报告中出具理财托管机构报告等；</w:t>
      </w:r>
    </w:p>
    <w:p>
      <w:pPr>
        <w:pStyle w:val="7"/>
        <w:keepNext/>
        <w:keepLines/>
        <w:numPr>
          <w:ilvl w:val="0"/>
          <w:numId w:val="6"/>
        </w:numPr>
        <w:ind w:left="0" w:firstLine="420"/>
        <w:rPr>
          <w:highlight w:val="none"/>
        </w:rPr>
      </w:pPr>
      <w:r>
        <w:rPr>
          <w:highlight w:val="none"/>
        </w:rPr>
        <w:t>理财托管业务活动的记录、账册、报表和其他相关资料保存15年以上；</w:t>
      </w:r>
    </w:p>
    <w:p>
      <w:pPr>
        <w:pStyle w:val="7"/>
        <w:keepNext/>
        <w:keepLines/>
        <w:numPr>
          <w:ilvl w:val="0"/>
          <w:numId w:val="6"/>
        </w:numPr>
        <w:ind w:left="0" w:firstLine="420"/>
        <w:rPr>
          <w:highlight w:val="none"/>
        </w:rPr>
      </w:pPr>
      <w:r>
        <w:rPr>
          <w:highlight w:val="none"/>
        </w:rPr>
        <w:t>对理财产品投资信息和相关资料承担保密责任，除法律、行政法规、规章规定、审计要求或者合同约定外，不得向任何机构或者个人提供相关信息和资料；</w:t>
      </w:r>
    </w:p>
    <w:p>
      <w:pPr>
        <w:pStyle w:val="7"/>
        <w:numPr>
          <w:ilvl w:val="0"/>
          <w:numId w:val="6"/>
        </w:numPr>
        <w:ind w:firstLine="420"/>
        <w:rPr>
          <w:rFonts w:hint="eastAsia" w:ascii="Calibri Light" w:hAnsi="Calibri Light" w:cs="Calibri Light"/>
          <w:bCs/>
          <w:sz w:val="24"/>
          <w:szCs w:val="28"/>
          <w:highlight w:val="none"/>
        </w:rPr>
      </w:pPr>
      <w:r>
        <w:rPr>
          <w:highlight w:val="none"/>
        </w:rPr>
        <w:t>国务院银行业监督管理机构规定的其他职责</w:t>
      </w:r>
      <w:r>
        <w:rPr>
          <w:rFonts w:hint="eastAsia"/>
          <w:highlight w:val="none"/>
        </w:rPr>
        <w:t>；</w:t>
      </w:r>
    </w:p>
    <w:p>
      <w:pPr>
        <w:pStyle w:val="7"/>
        <w:numPr>
          <w:ilvl w:val="0"/>
          <w:numId w:val="6"/>
        </w:numPr>
        <w:ind w:firstLine="420"/>
        <w:rPr>
          <w:rFonts w:hint="eastAsia" w:ascii="Calibri Light" w:hAnsi="Calibri Light" w:cs="Calibri Light"/>
          <w:bCs/>
          <w:sz w:val="24"/>
          <w:szCs w:val="28"/>
          <w:highlight w:val="none"/>
        </w:rPr>
      </w:pPr>
      <w:r>
        <w:rPr>
          <w:rFonts w:hint="eastAsia" w:ascii="Calibri Light" w:hAnsi="Calibri Light" w:cs="Calibri Light"/>
          <w:bCs/>
          <w:sz w:val="24"/>
          <w:szCs w:val="28"/>
          <w:highlight w:val="none"/>
        </w:rPr>
        <w:t>乙方的职责不包含以下内容，法律法规另有规定或本协议另有约定的除外：</w:t>
      </w:r>
    </w:p>
    <w:p>
      <w:pPr>
        <w:pStyle w:val="6"/>
        <w:keepNext/>
        <w:keepLines/>
        <w:numPr>
          <w:ilvl w:val="0"/>
          <w:numId w:val="7"/>
        </w:numPr>
        <w:spacing w:line="360" w:lineRule="auto"/>
        <w:ind w:left="0" w:firstLine="420"/>
        <w:rPr>
          <w:sz w:val="24"/>
          <w:highlight w:val="none"/>
        </w:rPr>
      </w:pPr>
      <w:r>
        <w:rPr>
          <w:rFonts w:hint="eastAsia"/>
          <w:sz w:val="24"/>
          <w:highlight w:val="none"/>
        </w:rPr>
        <w:t>投资者的适当性管理；</w:t>
      </w:r>
    </w:p>
    <w:p>
      <w:pPr>
        <w:pStyle w:val="6"/>
        <w:keepNext/>
        <w:keepLines/>
        <w:numPr>
          <w:ilvl w:val="0"/>
          <w:numId w:val="7"/>
        </w:numPr>
        <w:spacing w:line="360" w:lineRule="auto"/>
        <w:ind w:left="0" w:firstLine="420"/>
        <w:rPr>
          <w:sz w:val="24"/>
          <w:highlight w:val="none"/>
        </w:rPr>
      </w:pPr>
      <w:r>
        <w:rPr>
          <w:rFonts w:hint="eastAsia"/>
          <w:sz w:val="24"/>
          <w:highlight w:val="none"/>
        </w:rPr>
        <w:t>审核项目及交易信息真实性；</w:t>
      </w:r>
    </w:p>
    <w:p>
      <w:pPr>
        <w:pStyle w:val="6"/>
        <w:keepNext/>
        <w:keepLines/>
        <w:numPr>
          <w:ilvl w:val="0"/>
          <w:numId w:val="7"/>
        </w:numPr>
        <w:spacing w:line="360" w:lineRule="auto"/>
        <w:ind w:left="0" w:firstLine="420"/>
        <w:rPr>
          <w:sz w:val="24"/>
          <w:highlight w:val="none"/>
        </w:rPr>
      </w:pPr>
      <w:r>
        <w:rPr>
          <w:rFonts w:hint="eastAsia"/>
          <w:sz w:val="24"/>
          <w:highlight w:val="none"/>
        </w:rPr>
        <w:t>审查理财产品以及理财产品资金来源的合法合规性；</w:t>
      </w:r>
    </w:p>
    <w:p>
      <w:pPr>
        <w:pStyle w:val="6"/>
        <w:keepNext/>
        <w:keepLines/>
        <w:numPr>
          <w:ilvl w:val="0"/>
          <w:numId w:val="7"/>
        </w:numPr>
        <w:spacing w:line="360" w:lineRule="auto"/>
        <w:ind w:left="0" w:firstLine="420"/>
        <w:rPr>
          <w:sz w:val="24"/>
          <w:highlight w:val="none"/>
        </w:rPr>
      </w:pPr>
      <w:r>
        <w:rPr>
          <w:rFonts w:hint="eastAsia"/>
          <w:sz w:val="24"/>
          <w:highlight w:val="none"/>
        </w:rPr>
        <w:t>对理财产品本金及收益提供保证或承诺；</w:t>
      </w:r>
    </w:p>
    <w:p>
      <w:pPr>
        <w:pStyle w:val="6"/>
        <w:keepNext/>
        <w:keepLines/>
        <w:numPr>
          <w:ilvl w:val="0"/>
          <w:numId w:val="7"/>
        </w:numPr>
        <w:spacing w:line="360" w:lineRule="auto"/>
        <w:ind w:left="0" w:firstLine="420"/>
        <w:rPr>
          <w:sz w:val="24"/>
          <w:highlight w:val="none"/>
        </w:rPr>
      </w:pPr>
      <w:r>
        <w:rPr>
          <w:rFonts w:hint="eastAsia"/>
          <w:sz w:val="24"/>
          <w:highlight w:val="none"/>
        </w:rPr>
        <w:t>对已划出托管账户意见处于托管银行实际控制之外的资产的保管责任；</w:t>
      </w:r>
    </w:p>
    <w:p>
      <w:pPr>
        <w:pStyle w:val="6"/>
        <w:keepNext/>
        <w:keepLines/>
        <w:numPr>
          <w:ilvl w:val="0"/>
          <w:numId w:val="7"/>
        </w:numPr>
        <w:spacing w:line="360" w:lineRule="auto"/>
        <w:ind w:left="0" w:firstLine="420"/>
        <w:rPr>
          <w:sz w:val="24"/>
          <w:highlight w:val="none"/>
        </w:rPr>
      </w:pPr>
      <w:r>
        <w:rPr>
          <w:rFonts w:hint="eastAsia"/>
          <w:sz w:val="24"/>
          <w:highlight w:val="none"/>
        </w:rPr>
        <w:t>对未兑付理财产品后续资金的追偿；</w:t>
      </w:r>
    </w:p>
    <w:p>
      <w:pPr>
        <w:pStyle w:val="6"/>
        <w:keepNext/>
        <w:keepLines/>
        <w:numPr>
          <w:ilvl w:val="0"/>
          <w:numId w:val="7"/>
        </w:numPr>
        <w:spacing w:line="360" w:lineRule="auto"/>
        <w:ind w:left="0" w:firstLine="420"/>
        <w:rPr>
          <w:sz w:val="24"/>
          <w:highlight w:val="none"/>
        </w:rPr>
      </w:pPr>
      <w:r>
        <w:rPr>
          <w:rFonts w:hint="eastAsia"/>
          <w:sz w:val="24"/>
          <w:highlight w:val="none"/>
        </w:rPr>
        <w:t>主会计方未接受托管银行的复核意见进行信息披露产生的相应责任；</w:t>
      </w:r>
    </w:p>
    <w:p>
      <w:pPr>
        <w:pStyle w:val="6"/>
        <w:keepNext/>
        <w:keepLines/>
        <w:numPr>
          <w:ilvl w:val="0"/>
          <w:numId w:val="7"/>
        </w:numPr>
        <w:spacing w:line="360" w:lineRule="auto"/>
        <w:ind w:left="0" w:firstLine="420"/>
        <w:rPr>
          <w:sz w:val="24"/>
          <w:highlight w:val="none"/>
        </w:rPr>
      </w:pPr>
      <w:r>
        <w:rPr>
          <w:rFonts w:hint="eastAsia"/>
          <w:sz w:val="24"/>
          <w:highlight w:val="none"/>
        </w:rPr>
        <w:t>因不可抗力，以及由于第三方（包括但不限于证券交易所、期货交易所、中国证券登记结算公司、中国期货市场监控中心等）发送或提供的数据错误及合理信赖上述信息操作给理财资产造成的损失；</w:t>
      </w:r>
    </w:p>
    <w:p>
      <w:pPr>
        <w:pStyle w:val="6"/>
        <w:keepNext/>
        <w:keepLines/>
        <w:numPr>
          <w:ilvl w:val="0"/>
          <w:numId w:val="7"/>
        </w:numPr>
        <w:spacing w:line="360" w:lineRule="auto"/>
        <w:ind w:left="0" w:firstLine="420"/>
        <w:rPr>
          <w:sz w:val="24"/>
          <w:highlight w:val="none"/>
        </w:rPr>
      </w:pPr>
      <w:r>
        <w:rPr>
          <w:rFonts w:hint="eastAsia"/>
          <w:sz w:val="24"/>
          <w:highlight w:val="none"/>
        </w:rPr>
        <w:t>提供保证或其他形式的担保；</w:t>
      </w:r>
    </w:p>
    <w:p>
      <w:pPr>
        <w:pStyle w:val="6"/>
        <w:keepNext/>
        <w:keepLines/>
        <w:numPr>
          <w:ilvl w:val="0"/>
          <w:numId w:val="7"/>
        </w:numPr>
        <w:spacing w:line="360" w:lineRule="auto"/>
        <w:ind w:left="0" w:firstLine="420"/>
        <w:rPr>
          <w:sz w:val="24"/>
          <w:highlight w:val="none"/>
        </w:rPr>
      </w:pPr>
      <w:r>
        <w:rPr>
          <w:rFonts w:hint="eastAsia"/>
          <w:sz w:val="24"/>
          <w:highlight w:val="none"/>
        </w:rPr>
        <w:t>自身应尽职责之外的连带责任。</w:t>
      </w:r>
    </w:p>
    <w:p>
      <w:pPr>
        <w:pStyle w:val="3"/>
        <w:keepNext/>
        <w:keepLines/>
        <w:rPr>
          <w:highlight w:val="none"/>
        </w:rPr>
      </w:pPr>
      <w:bookmarkStart w:id="32" w:name="_Toc16103"/>
      <w:bookmarkStart w:id="33" w:name="_Toc7754"/>
      <w:bookmarkStart w:id="34" w:name="_Toc10838"/>
      <w:bookmarkStart w:id="35" w:name="_Toc16654"/>
      <w:bookmarkStart w:id="36" w:name="_Toc127449897"/>
      <w:bookmarkStart w:id="37" w:name="_Toc27446"/>
      <w:bookmarkStart w:id="38" w:name="_Toc31809"/>
      <w:bookmarkStart w:id="39" w:name="_Toc5458"/>
      <w:r>
        <w:rPr>
          <w:highlight w:val="none"/>
        </w:rPr>
        <w:t>托管财产保管</w:t>
      </w:r>
      <w:bookmarkEnd w:id="32"/>
      <w:bookmarkEnd w:id="33"/>
      <w:bookmarkEnd w:id="34"/>
      <w:bookmarkEnd w:id="35"/>
      <w:bookmarkEnd w:id="36"/>
      <w:bookmarkEnd w:id="37"/>
      <w:bookmarkEnd w:id="38"/>
      <w:bookmarkEnd w:id="39"/>
    </w:p>
    <w:p>
      <w:pPr>
        <w:pStyle w:val="189"/>
        <w:keepNext/>
        <w:keepLines/>
        <w:numPr>
          <w:ilvl w:val="0"/>
          <w:numId w:val="2"/>
        </w:numPr>
        <w:spacing w:line="360" w:lineRule="auto"/>
        <w:outlineLvl w:val="1"/>
        <w:rPr>
          <w:bCs/>
          <w:vanish/>
          <w:szCs w:val="32"/>
          <w:highlight w:val="none"/>
        </w:rPr>
      </w:pPr>
    </w:p>
    <w:p>
      <w:pPr>
        <w:pStyle w:val="4"/>
        <w:keepNext/>
        <w:keepLines/>
        <w:ind w:left="0" w:firstLine="420"/>
        <w:rPr>
          <w:highlight w:val="none"/>
        </w:rPr>
      </w:pPr>
      <w:r>
        <w:rPr>
          <w:rFonts w:hint="eastAsia"/>
          <w:highlight w:val="none"/>
        </w:rPr>
        <w:t>未获甲方的划款指令，乙方不得自行运用、处分、分配任何被托管财产。</w:t>
      </w:r>
    </w:p>
    <w:p>
      <w:pPr>
        <w:pStyle w:val="4"/>
        <w:keepNext/>
        <w:keepLines/>
        <w:ind w:left="0" w:firstLine="420"/>
        <w:rPr>
          <w:highlight w:val="none"/>
        </w:rPr>
      </w:pPr>
      <w:r>
        <w:rPr>
          <w:rFonts w:hint="eastAsia"/>
          <w:highlight w:val="none"/>
        </w:rPr>
        <w:t>乙方负责银行托管账户内资金的安全。乙方根据甲方或第三方提供的数据、资料进行相关形式审核。甲方或第三方对其提供的数据、资料的始终有效性、真实性、完整性、准确性负责。乙方对银行托管账户之外的资产不承担安全保管责任。</w:t>
      </w:r>
    </w:p>
    <w:p>
      <w:pPr>
        <w:pStyle w:val="4"/>
        <w:keepNext/>
        <w:keepLines/>
        <w:ind w:left="0" w:firstLine="420"/>
        <w:rPr>
          <w:highlight w:val="none"/>
        </w:rPr>
      </w:pPr>
      <w:r>
        <w:rPr>
          <w:rFonts w:hint="eastAsia"/>
          <w:highlight w:val="none"/>
        </w:rPr>
        <w:t>理财产品的非现金类财产的托管</w:t>
      </w:r>
    </w:p>
    <w:p>
      <w:pPr>
        <w:keepNext/>
        <w:keepLines/>
        <w:spacing w:line="360" w:lineRule="auto"/>
        <w:ind w:firstLine="420"/>
        <w:rPr>
          <w:sz w:val="24"/>
          <w:highlight w:val="none"/>
        </w:rPr>
      </w:pPr>
      <w:r>
        <w:rPr>
          <w:sz w:val="24"/>
          <w:highlight w:val="none"/>
        </w:rPr>
        <w:t>乙方负责保管甲方提交的理财产品财产权利行使依据原件或扫描件，行使依据包括但不限于理财产品文件、理财产品计划说明书（如有）、存款证实书（必须为原件）、交易合同（仅指除银行间交易外的场外交易）等相关文件（扫描件须由甲方负责与原件核对一致）。甲方应当在取得上述理财财产权利行使依据后的三个工作日内提交乙方保管。甲方应确保上述文件的始终有效性、真实性、完整性、准确性，并负责对未提交给乙方的该等行使依据原件的安全保管。对于甲方未及时或未向乙方提交理财财产权利行使依据，以及未通知托管人将相关行使依据挂失、再转让等行为导致本理财财产的损失，乙方不承担责任。乙方对理财财产权利行使依据的托管并不保证该等行使依据所对应的实际资产不致灭失。乙方对甲方理财产品资产的托管并非对该等理财产品本金或收益的保证或承诺，乙方不承担理财产品的投资风险。</w:t>
      </w:r>
    </w:p>
    <w:p>
      <w:pPr>
        <w:keepNext/>
        <w:keepLines/>
        <w:spacing w:line="360" w:lineRule="auto"/>
        <w:ind w:firstLine="420"/>
        <w:rPr>
          <w:sz w:val="24"/>
          <w:highlight w:val="none"/>
        </w:rPr>
      </w:pPr>
      <w:r>
        <w:rPr>
          <w:rFonts w:hint="eastAsia"/>
          <w:sz w:val="24"/>
          <w:highlight w:val="none"/>
        </w:rPr>
        <w:t>乙方除按上述约定保管甲方提交的理财产品权利行使依据原件或扫描件外，不负责保管其他非现金形式的理财产品资产。</w:t>
      </w:r>
    </w:p>
    <w:p>
      <w:pPr>
        <w:pStyle w:val="4"/>
        <w:keepNext/>
        <w:keepLines/>
        <w:ind w:left="0" w:firstLine="420"/>
        <w:rPr>
          <w:highlight w:val="none"/>
        </w:rPr>
      </w:pPr>
      <w:r>
        <w:rPr>
          <w:rFonts w:hint="eastAsia"/>
          <w:highlight w:val="none"/>
        </w:rPr>
        <w:t>理财产品文件、交易文件和相关资料的保管</w:t>
      </w:r>
    </w:p>
    <w:p>
      <w:pPr>
        <w:keepNext/>
        <w:keepLines/>
        <w:spacing w:line="360" w:lineRule="auto"/>
        <w:ind w:firstLine="420"/>
        <w:rPr>
          <w:sz w:val="24"/>
          <w:highlight w:val="none"/>
        </w:rPr>
      </w:pPr>
      <w:r>
        <w:rPr>
          <w:rFonts w:hint="eastAsia"/>
          <w:sz w:val="24"/>
          <w:highlight w:val="none"/>
        </w:rPr>
        <w:t>乙方保管的用于记账的所有会计凭证扫描件或其他资料由乙方按相关规定保存。如乙方保管资料的扫描件由甲方提供的，乙方对于移交乙方保管的凭证真实性、合法性、有效性不承担责任。</w:t>
      </w:r>
    </w:p>
    <w:p>
      <w:pPr>
        <w:pStyle w:val="3"/>
        <w:rPr>
          <w:szCs w:val="28"/>
          <w:highlight w:val="none"/>
        </w:rPr>
      </w:pPr>
      <w:bookmarkStart w:id="40" w:name="_Toc14349"/>
      <w:bookmarkStart w:id="41" w:name="_Toc21954"/>
      <w:bookmarkStart w:id="42" w:name="_Toc1597"/>
      <w:bookmarkStart w:id="43" w:name="_Toc3163"/>
      <w:bookmarkStart w:id="44" w:name="_Toc14372"/>
      <w:bookmarkStart w:id="45" w:name="_Toc23007"/>
      <w:bookmarkStart w:id="46" w:name="_Toc16378"/>
      <w:bookmarkStart w:id="47" w:name="_Toc127449898"/>
      <w:r>
        <w:rPr>
          <w:rFonts w:hint="eastAsia"/>
          <w:szCs w:val="28"/>
          <w:highlight w:val="none"/>
        </w:rPr>
        <w:t>理财产品账户</w:t>
      </w:r>
      <w:bookmarkEnd w:id="40"/>
      <w:bookmarkEnd w:id="41"/>
      <w:bookmarkEnd w:id="42"/>
      <w:bookmarkEnd w:id="43"/>
      <w:bookmarkEnd w:id="44"/>
      <w:bookmarkEnd w:id="45"/>
      <w:bookmarkEnd w:id="46"/>
      <w:bookmarkEnd w:id="47"/>
    </w:p>
    <w:p>
      <w:pPr>
        <w:pStyle w:val="189"/>
        <w:keepNext/>
        <w:keepLines/>
        <w:numPr>
          <w:ilvl w:val="0"/>
          <w:numId w:val="2"/>
        </w:numPr>
        <w:spacing w:line="360" w:lineRule="auto"/>
        <w:outlineLvl w:val="1"/>
        <w:rPr>
          <w:bCs/>
          <w:vanish/>
          <w:sz w:val="24"/>
          <w:szCs w:val="32"/>
          <w:highlight w:val="none"/>
        </w:rPr>
      </w:pPr>
    </w:p>
    <w:p>
      <w:pPr>
        <w:pStyle w:val="4"/>
        <w:keepNext/>
        <w:keepLines/>
        <w:ind w:left="0" w:firstLine="420"/>
        <w:rPr>
          <w:highlight w:val="none"/>
        </w:rPr>
      </w:pPr>
      <w:r>
        <w:rPr>
          <w:rFonts w:hint="eastAsia"/>
          <w:highlight w:val="none"/>
        </w:rPr>
        <w:t>托管账户的开立和管理</w:t>
      </w:r>
    </w:p>
    <w:p>
      <w:pPr>
        <w:pStyle w:val="5"/>
        <w:keepNext/>
        <w:keepLines/>
        <w:ind w:firstLine="420"/>
        <w:rPr>
          <w:rFonts w:ascii="宋体" w:hAnsi="宋体" w:cs="宋体"/>
          <w:color w:val="000000"/>
          <w:highlight w:val="none"/>
        </w:rPr>
      </w:pPr>
      <w:r>
        <w:rPr>
          <w:rFonts w:hint="eastAsia"/>
          <w:highlight w:val="none"/>
        </w:rPr>
        <w:t>托管账户的开立和管理由乙方根据甲方的申请办理，甲方应向乙方提供开户所需相关资料。</w:t>
      </w:r>
      <w:r>
        <w:rPr>
          <w:rFonts w:hint="eastAsia"/>
          <w:highlight w:val="none"/>
          <w:lang w:eastAsia="zh-CN"/>
        </w:rPr>
        <w:t>具体开立的账户名称以管理人出具的开户授权文件描述为准，该账户预留印鉴由托管人负责保管和使用。</w:t>
      </w:r>
      <w:r>
        <w:rPr>
          <w:rFonts w:hint="eastAsia" w:ascii="宋体" w:hAnsi="宋体" w:cs="华文楷体"/>
          <w:kern w:val="0"/>
          <w:sz w:val="24"/>
          <w:szCs w:val="24"/>
          <w:highlight w:val="none"/>
        </w:rPr>
        <w:t>在该理财产品存续期内由托管人保管、使用相关合同文本，管理人应协助托管人对托管账户进行管理和使用。</w:t>
      </w:r>
      <w:r>
        <w:rPr>
          <w:rFonts w:hint="eastAsia" w:ascii="宋体" w:hAnsi="宋体" w:cs="华文楷体"/>
          <w:kern w:val="0"/>
          <w:sz w:val="24"/>
          <w:szCs w:val="24"/>
          <w:highlight w:val="none"/>
          <w:lang w:eastAsia="zh-CN"/>
        </w:rPr>
        <w:t>管理人应依法履行受益所有人识别义务。在开立托管账户时按照开户银行要求，就相关信息的提供、核实等提供必要的协助，并确保所提供信息以及证明材料的真实性、准确性。</w:t>
      </w:r>
    </w:p>
    <w:p>
      <w:pPr>
        <w:pStyle w:val="5"/>
        <w:keepNext/>
        <w:keepLines/>
        <w:ind w:firstLine="420"/>
        <w:rPr>
          <w:highlight w:val="none"/>
        </w:rPr>
      </w:pPr>
      <w:r>
        <w:rPr>
          <w:rFonts w:hint="eastAsia"/>
          <w:highlight w:val="none"/>
        </w:rPr>
        <w:t>乙方可以应甲方申请为其办理托管账户网银查询权限。</w:t>
      </w:r>
    </w:p>
    <w:p>
      <w:pPr>
        <w:pStyle w:val="5"/>
        <w:keepNext/>
        <w:keepLines/>
        <w:ind w:firstLine="420"/>
        <w:rPr>
          <w:highlight w:val="none"/>
        </w:rPr>
      </w:pPr>
      <w:r>
        <w:rPr>
          <w:rFonts w:hint="eastAsia"/>
          <w:highlight w:val="none"/>
        </w:rPr>
        <w:t>托管账户的开立和管理应符合《支付结算办法》及中国人民银行关于账户管理的规定及其他相关法律法规的规定。</w:t>
      </w:r>
    </w:p>
    <w:p>
      <w:pPr>
        <w:pStyle w:val="5"/>
        <w:keepNext/>
        <w:keepLines/>
        <w:ind w:firstLine="420"/>
        <w:rPr>
          <w:highlight w:val="none"/>
        </w:rPr>
      </w:pPr>
      <w:r>
        <w:rPr>
          <w:rFonts w:hint="eastAsia"/>
          <w:highlight w:val="none"/>
        </w:rPr>
        <w:t>根据甲方和乙方的约定，托管账户须采用为单一理财产品开立唯一托管账户的方式。</w:t>
      </w:r>
      <w:r>
        <w:rPr>
          <w:rFonts w:hint="eastAsia"/>
          <w:highlight w:val="none"/>
          <w:lang w:eastAsia="zh-CN"/>
        </w:rPr>
        <w:t>理财产品发行前，管理人向托管人递交开户授权文件，托管人需按照规定及时开立托管账户，托管账户信息以双方认可的形式，由托管人向管理人书面反馈。</w:t>
      </w:r>
    </w:p>
    <w:p>
      <w:pPr>
        <w:pStyle w:val="5"/>
        <w:keepNext/>
        <w:keepLines/>
        <w:ind w:firstLine="420"/>
        <w:rPr>
          <w:highlight w:val="none"/>
        </w:rPr>
      </w:pPr>
      <w:r>
        <w:rPr>
          <w:rFonts w:hint="eastAsia"/>
          <w:highlight w:val="none"/>
        </w:rPr>
        <w:t>乙方根据甲方的有效指令办理托管账户项下的资金划付。</w:t>
      </w:r>
    </w:p>
    <w:p>
      <w:pPr>
        <w:pStyle w:val="5"/>
        <w:keepNext/>
        <w:keepLines/>
        <w:ind w:firstLine="420"/>
        <w:rPr>
          <w:highlight w:val="none"/>
        </w:rPr>
      </w:pPr>
      <w:r>
        <w:rPr>
          <w:rFonts w:hint="eastAsia"/>
          <w:highlight w:val="none"/>
        </w:rPr>
        <w:t>托管人不对托管账户垫资。</w:t>
      </w:r>
    </w:p>
    <w:p>
      <w:pPr>
        <w:pStyle w:val="5"/>
        <w:keepNext/>
        <w:keepLines/>
        <w:spacing w:line="240" w:lineRule="auto"/>
        <w:ind w:firstLine="420"/>
        <w:rPr>
          <w:highlight w:val="none"/>
        </w:rPr>
      </w:pPr>
      <w:r>
        <w:rPr>
          <w:rFonts w:hint="eastAsia"/>
          <w:highlight w:val="none"/>
        </w:rPr>
        <w:t>托管账户的用途是：</w:t>
      </w:r>
    </w:p>
    <w:p>
      <w:pPr>
        <w:pStyle w:val="7"/>
        <w:numPr>
          <w:ilvl w:val="0"/>
          <w:numId w:val="8"/>
        </w:numPr>
        <w:ind w:left="0" w:firstLine="420"/>
        <w:rPr>
          <w:highlight w:val="none"/>
        </w:rPr>
      </w:pPr>
      <w:r>
        <w:rPr>
          <w:rFonts w:hint="eastAsia"/>
          <w:highlight w:val="none"/>
        </w:rPr>
        <w:t>存放理财产品的现金资产和办理理财产品相关投资交易发生的资金清算；</w:t>
      </w:r>
    </w:p>
    <w:p>
      <w:pPr>
        <w:pStyle w:val="7"/>
        <w:numPr>
          <w:ilvl w:val="0"/>
          <w:numId w:val="8"/>
        </w:numPr>
        <w:ind w:left="0" w:firstLine="420"/>
        <w:rPr>
          <w:highlight w:val="none"/>
        </w:rPr>
      </w:pPr>
      <w:r>
        <w:rPr>
          <w:rFonts w:hint="eastAsia"/>
          <w:highlight w:val="none"/>
        </w:rPr>
        <w:t>用于理财产品项下发生的管理费用、托管费用和证券交易税费及其他应由理财产品财产承担的税费等的支付；</w:t>
      </w:r>
    </w:p>
    <w:p>
      <w:pPr>
        <w:pStyle w:val="7"/>
        <w:numPr>
          <w:ilvl w:val="0"/>
          <w:numId w:val="8"/>
        </w:numPr>
        <w:ind w:left="0" w:firstLine="420"/>
        <w:rPr>
          <w:highlight w:val="none"/>
        </w:rPr>
      </w:pPr>
      <w:r>
        <w:rPr>
          <w:rFonts w:hint="eastAsia"/>
          <w:highlight w:val="none"/>
        </w:rPr>
        <w:t>接收理财产品申购/认购款，支付赎回款、分红款、理财产品剩余财产。</w:t>
      </w:r>
    </w:p>
    <w:p>
      <w:pPr>
        <w:pStyle w:val="5"/>
        <w:keepNext/>
        <w:keepLines/>
        <w:ind w:firstLine="420"/>
        <w:rPr>
          <w:highlight w:val="none"/>
        </w:rPr>
      </w:pPr>
      <w:r>
        <w:rPr>
          <w:rFonts w:hint="eastAsia"/>
          <w:highlight w:val="none"/>
        </w:rPr>
        <w:t>除本协议另有规定外，未经甲方的有效指令乙方不得擅自动用托管账户中的资金。</w:t>
      </w:r>
    </w:p>
    <w:p>
      <w:pPr>
        <w:pStyle w:val="4"/>
        <w:keepNext/>
        <w:keepLines/>
        <w:ind w:left="0" w:firstLine="420"/>
        <w:rPr>
          <w:highlight w:val="none"/>
        </w:rPr>
      </w:pPr>
      <w:r>
        <w:rPr>
          <w:rFonts w:hint="eastAsia"/>
          <w:highlight w:val="none"/>
        </w:rPr>
        <w:t>理财产品相关证券账户的开立和管理（如需）</w:t>
      </w:r>
    </w:p>
    <w:p>
      <w:pPr>
        <w:pStyle w:val="5"/>
        <w:keepNext/>
        <w:keepLines/>
        <w:ind w:firstLine="420"/>
        <w:rPr>
          <w:highlight w:val="none"/>
        </w:rPr>
      </w:pPr>
      <w:r>
        <w:rPr>
          <w:rFonts w:hint="eastAsia"/>
          <w:highlight w:val="none"/>
        </w:rPr>
        <w:t>乙方为理财产品在中登公司开立上海、深圳证券、北交所账户，用于办理理财产品在交易所市场进行证券投资时的证券登记和交割，甲方应及时向乙方提供开立上述证券账户所需资料并在账户开立前缴纳证券账户开户费。甲方使用上述证券账户、乙方保管该证券账户开立凭证。</w:t>
      </w:r>
    </w:p>
    <w:p>
      <w:pPr>
        <w:pStyle w:val="5"/>
        <w:keepNext/>
        <w:keepLines/>
        <w:ind w:firstLine="420"/>
        <w:rPr>
          <w:highlight w:val="none"/>
        </w:rPr>
      </w:pPr>
      <w:r>
        <w:rPr>
          <w:rFonts w:hint="eastAsia"/>
          <w:highlight w:val="none"/>
        </w:rPr>
        <w:t>甲方负责以理财产品的名义申请并取得进入全国银行间同业拆借市场的交易资格，并代表理财产品进行交易；乙方负责以理财产品的名义在中央国债登记结算有限责任公司、上海清算所开设银行间债券市场债券托管账户，并代表理财产品进行债券交割和资金结算。</w:t>
      </w:r>
    </w:p>
    <w:p>
      <w:pPr>
        <w:pStyle w:val="5"/>
        <w:keepNext/>
        <w:keepLines/>
        <w:ind w:firstLine="420"/>
        <w:rPr>
          <w:highlight w:val="none"/>
        </w:rPr>
      </w:pPr>
      <w:r>
        <w:rPr>
          <w:rFonts w:hint="eastAsia"/>
          <w:highlight w:val="none"/>
        </w:rPr>
        <w:t>由甲方在基金公司注册登记机构为理财产品开立基金账户；理财产品购买</w:t>
      </w:r>
      <w:r>
        <w:rPr>
          <w:rFonts w:hint="eastAsia"/>
          <w:highlight w:val="none"/>
          <w:lang w:val="en-US" w:eastAsia="zh-CN"/>
        </w:rPr>
        <w:t>资管</w:t>
      </w:r>
      <w:r>
        <w:rPr>
          <w:rFonts w:hint="eastAsia"/>
          <w:highlight w:val="none"/>
        </w:rPr>
        <w:t>计划时，由甲方在</w:t>
      </w:r>
      <w:r>
        <w:rPr>
          <w:rFonts w:hint="eastAsia"/>
          <w:highlight w:val="none"/>
          <w:lang w:val="en-US" w:eastAsia="zh-CN"/>
        </w:rPr>
        <w:t>资管</w:t>
      </w:r>
      <w:r>
        <w:rPr>
          <w:rFonts w:hint="eastAsia"/>
          <w:highlight w:val="none"/>
        </w:rPr>
        <w:t>计划的登记机构为理财产品开立相关</w:t>
      </w:r>
      <w:r>
        <w:rPr>
          <w:rFonts w:hint="eastAsia"/>
          <w:highlight w:val="none"/>
          <w:lang w:val="en-US" w:eastAsia="zh-CN"/>
        </w:rPr>
        <w:t>资管</w:t>
      </w:r>
      <w:r>
        <w:rPr>
          <w:rFonts w:hint="eastAsia"/>
          <w:highlight w:val="none"/>
        </w:rPr>
        <w:t>账户以登记注册</w:t>
      </w:r>
      <w:r>
        <w:rPr>
          <w:rFonts w:hint="eastAsia"/>
          <w:highlight w:val="none"/>
          <w:lang w:val="en-US" w:eastAsia="zh-CN"/>
        </w:rPr>
        <w:t>资管</w:t>
      </w:r>
      <w:r>
        <w:rPr>
          <w:rFonts w:hint="eastAsia"/>
          <w:highlight w:val="none"/>
        </w:rPr>
        <w:t>份额。</w:t>
      </w:r>
    </w:p>
    <w:p>
      <w:pPr>
        <w:pStyle w:val="3"/>
        <w:rPr>
          <w:szCs w:val="28"/>
          <w:highlight w:val="none"/>
        </w:rPr>
      </w:pPr>
      <w:bookmarkStart w:id="48" w:name="_Toc124"/>
      <w:bookmarkStart w:id="49" w:name="_Toc19230"/>
      <w:bookmarkStart w:id="50" w:name="_Toc1152"/>
      <w:bookmarkStart w:id="51" w:name="_Toc127449899"/>
      <w:bookmarkStart w:id="52" w:name="_Toc8467"/>
      <w:bookmarkStart w:id="53" w:name="_Toc10625"/>
      <w:bookmarkStart w:id="54" w:name="_Toc9740"/>
      <w:bookmarkStart w:id="55" w:name="_Toc31765"/>
      <w:r>
        <w:rPr>
          <w:rFonts w:hint="eastAsia"/>
          <w:szCs w:val="28"/>
          <w:highlight w:val="none"/>
        </w:rPr>
        <w:t>资金移交与赎回</w:t>
      </w:r>
      <w:bookmarkEnd w:id="48"/>
      <w:bookmarkEnd w:id="49"/>
      <w:bookmarkEnd w:id="50"/>
      <w:bookmarkEnd w:id="51"/>
      <w:bookmarkEnd w:id="52"/>
      <w:bookmarkEnd w:id="53"/>
      <w:bookmarkEnd w:id="54"/>
      <w:bookmarkEnd w:id="55"/>
    </w:p>
    <w:p>
      <w:pPr>
        <w:pStyle w:val="189"/>
        <w:keepNext/>
        <w:keepLines/>
        <w:numPr>
          <w:ilvl w:val="0"/>
          <w:numId w:val="2"/>
        </w:numPr>
        <w:spacing w:line="360" w:lineRule="auto"/>
        <w:outlineLvl w:val="1"/>
        <w:rPr>
          <w:bCs/>
          <w:vanish/>
          <w:sz w:val="24"/>
          <w:szCs w:val="32"/>
          <w:highlight w:val="none"/>
        </w:rPr>
      </w:pPr>
    </w:p>
    <w:p>
      <w:pPr>
        <w:pStyle w:val="4"/>
        <w:keepNext/>
        <w:keepLines/>
        <w:ind w:left="0" w:firstLine="420"/>
        <w:rPr>
          <w:highlight w:val="none"/>
        </w:rPr>
      </w:pPr>
      <w:r>
        <w:rPr>
          <w:rFonts w:hint="eastAsia"/>
          <w:highlight w:val="none"/>
        </w:rPr>
        <w:t>托管账户资金的首次交付及份额的认购</w:t>
      </w:r>
    </w:p>
    <w:p>
      <w:pPr>
        <w:pStyle w:val="5"/>
        <w:keepNext/>
        <w:keepLines/>
        <w:ind w:firstLine="420"/>
        <w:rPr>
          <w:highlight w:val="none"/>
        </w:rPr>
      </w:pPr>
      <w:r>
        <w:rPr>
          <w:rFonts w:hint="eastAsia"/>
          <w:highlight w:val="none"/>
        </w:rPr>
        <w:t>甲方确保在理财产品成立当日将已募集的资金全部划拨至托管账户，并以传真或电子邮件方式向乙方发出理财产品公告及“理财产品资金托管起始运作通知书”（样本见附件三），同时通知乙方查询资金到账情况。乙方根据甲方提交的理财产品公告验明托管账户理财产品资金余额。</w:t>
      </w:r>
    </w:p>
    <w:p>
      <w:pPr>
        <w:pStyle w:val="5"/>
        <w:keepNext/>
        <w:keepLines/>
        <w:ind w:firstLine="420"/>
        <w:rPr>
          <w:highlight w:val="none"/>
        </w:rPr>
      </w:pPr>
      <w:r>
        <w:rPr>
          <w:rFonts w:hint="eastAsia"/>
          <w:highlight w:val="none"/>
        </w:rPr>
        <w:t>在理财产品成立日，甲方应通过传真或电子邮件方式向乙方发出理财产品成立公告。乙方根据甲方发送的理财产品成立公告中注明的初始募集金额，确认理财产品成立初始的实收资本。</w:t>
      </w:r>
    </w:p>
    <w:p>
      <w:pPr>
        <w:pStyle w:val="5"/>
        <w:keepNext/>
        <w:keepLines/>
        <w:ind w:firstLine="420"/>
        <w:rPr>
          <w:highlight w:val="none"/>
        </w:rPr>
      </w:pPr>
      <w:r>
        <w:rPr>
          <w:rFonts w:hint="eastAsia"/>
          <w:highlight w:val="none"/>
        </w:rPr>
        <w:t>甲方委托乙方的理财产品托管运作起始日以甲方发出的“理财产品资金托管起始运作通知书”载明的日期为准。</w:t>
      </w:r>
    </w:p>
    <w:p>
      <w:pPr>
        <w:pStyle w:val="5"/>
        <w:keepNext/>
        <w:keepLines/>
        <w:rPr>
          <w:highlight w:val="none"/>
        </w:rPr>
      </w:pPr>
      <w:r>
        <w:rPr>
          <w:rFonts w:hint="eastAsia"/>
          <w:highlight w:val="none"/>
          <w:lang w:val="en-US" w:eastAsia="zh-CN"/>
        </w:rPr>
        <w:t xml:space="preserve"> </w:t>
      </w:r>
      <w:r>
        <w:rPr>
          <w:rFonts w:hint="eastAsia"/>
          <w:highlight w:val="none"/>
        </w:rPr>
        <w:t>理财资金的追加、赎回及份额的申购、赎回（如有）</w:t>
      </w:r>
    </w:p>
    <w:p>
      <w:pPr>
        <w:pStyle w:val="5"/>
        <w:keepNext/>
        <w:keepLines/>
        <w:ind w:firstLine="420"/>
        <w:rPr>
          <w:highlight w:val="none"/>
        </w:rPr>
      </w:pPr>
      <w:r>
        <w:rPr>
          <w:rFonts w:hint="eastAsia"/>
          <w:highlight w:val="none"/>
        </w:rPr>
        <w:t>在理财产品开放日后的两个工作日内，如果委托人向理财产品追加资金，甲方应通过系统或电子邮件方式向乙方发出申购赎回数据，表样见附件一。</w:t>
      </w:r>
    </w:p>
    <w:p>
      <w:pPr>
        <w:pStyle w:val="5"/>
        <w:keepNext/>
        <w:keepLines/>
        <w:ind w:firstLine="420"/>
        <w:rPr>
          <w:highlight w:val="none"/>
        </w:rPr>
      </w:pPr>
      <w:r>
        <w:rPr>
          <w:rFonts w:hint="eastAsia"/>
          <w:highlight w:val="none"/>
        </w:rPr>
        <w:t>理财产品追加资金全额到达托管账户后，乙方应根据甲方发送的申购赎回数据确认理财产品本次申购实收资本。</w:t>
      </w:r>
    </w:p>
    <w:p>
      <w:pPr>
        <w:pStyle w:val="5"/>
        <w:keepNext/>
        <w:keepLines/>
        <w:ind w:firstLine="420"/>
        <w:rPr>
          <w:highlight w:val="none"/>
        </w:rPr>
      </w:pPr>
      <w:r>
        <w:rPr>
          <w:rFonts w:hint="eastAsia"/>
          <w:highlight w:val="none"/>
        </w:rPr>
        <w:t>理财产品追加资金全额到达托管账户后，乙方应根据甲方发送的申购赎回数据确认理财产品本次申购实收资本。</w:t>
      </w:r>
    </w:p>
    <w:p>
      <w:pPr>
        <w:pStyle w:val="5"/>
        <w:keepNext/>
        <w:keepLines/>
        <w:ind w:firstLine="420"/>
        <w:rPr>
          <w:highlight w:val="none"/>
        </w:rPr>
      </w:pPr>
      <w:r>
        <w:rPr>
          <w:rFonts w:hint="eastAsia"/>
          <w:highlight w:val="none"/>
        </w:rPr>
        <w:t>在理财产品开放日，如果委托人要求赎回资金，甲方应根据赎回申请文件，向乙方发出申购赎回数据及划款指令。乙方须根据甲方发出的申购赎回数据审核划款指令，确认无误后，乙方根据甲方的划款指令（表样见附件二），将赎回款项划至甲方指定账户。</w:t>
      </w:r>
    </w:p>
    <w:p>
      <w:pPr>
        <w:pStyle w:val="3"/>
        <w:rPr>
          <w:szCs w:val="28"/>
          <w:highlight w:val="none"/>
        </w:rPr>
      </w:pPr>
      <w:bookmarkStart w:id="56" w:name="_Toc5775"/>
      <w:bookmarkStart w:id="57" w:name="_Toc31095"/>
      <w:bookmarkStart w:id="58" w:name="_Toc5006"/>
      <w:bookmarkStart w:id="59" w:name="_Toc26212"/>
      <w:bookmarkStart w:id="60" w:name="_Toc22512"/>
      <w:bookmarkStart w:id="61" w:name="_Toc4099"/>
      <w:bookmarkStart w:id="62" w:name="_Toc21864"/>
      <w:bookmarkStart w:id="63" w:name="_Toc127449900"/>
      <w:r>
        <w:rPr>
          <w:rFonts w:hint="eastAsia"/>
          <w:szCs w:val="28"/>
          <w:highlight w:val="none"/>
        </w:rPr>
        <w:t>划款指令的发出、确认和执行</w:t>
      </w:r>
      <w:bookmarkEnd w:id="56"/>
      <w:bookmarkEnd w:id="57"/>
      <w:bookmarkEnd w:id="58"/>
      <w:bookmarkEnd w:id="59"/>
      <w:bookmarkEnd w:id="60"/>
      <w:bookmarkEnd w:id="61"/>
      <w:bookmarkEnd w:id="62"/>
      <w:bookmarkEnd w:id="63"/>
    </w:p>
    <w:p>
      <w:pPr>
        <w:pStyle w:val="189"/>
        <w:keepNext/>
        <w:keepLines/>
        <w:numPr>
          <w:ilvl w:val="0"/>
          <w:numId w:val="2"/>
        </w:numPr>
        <w:spacing w:line="360" w:lineRule="auto"/>
        <w:outlineLvl w:val="1"/>
        <w:rPr>
          <w:bCs/>
          <w:vanish/>
          <w:sz w:val="24"/>
          <w:szCs w:val="32"/>
          <w:highlight w:val="none"/>
        </w:rPr>
      </w:pPr>
    </w:p>
    <w:p>
      <w:pPr>
        <w:pStyle w:val="4"/>
        <w:keepNext/>
        <w:keepLines/>
        <w:ind w:left="0" w:firstLine="420"/>
        <w:rPr>
          <w:highlight w:val="none"/>
        </w:rPr>
      </w:pPr>
      <w:r>
        <w:rPr>
          <w:rFonts w:hint="eastAsia"/>
          <w:highlight w:val="none"/>
        </w:rPr>
        <w:t>指令签发人员及预留印章的授权</w:t>
      </w:r>
    </w:p>
    <w:p>
      <w:pPr>
        <w:pStyle w:val="5"/>
        <w:keepNext/>
        <w:keepLines/>
        <w:ind w:firstLine="420"/>
        <w:rPr>
          <w:highlight w:val="none"/>
        </w:rPr>
      </w:pPr>
      <w:r>
        <w:rPr>
          <w:rFonts w:hint="eastAsia"/>
          <w:highlight w:val="none"/>
        </w:rPr>
        <w:t>甲方应当事先向乙方发出书面形式的《指令签发人员及印章授权书》（见附件四，以下称“甲方授权书”，仅供参考、实际以甲方提供的授权书为准），甲方授权书载明甲方有权签发指令的人员（以下称“指令签发人员”）名单、各个指令签发人员的权限范围、使用规则及生效时间。甲方授权书应包括指令签发人员的个人名章预留印鉴样本或签名样本、授权印章印鉴样本。</w:t>
      </w:r>
    </w:p>
    <w:p>
      <w:pPr>
        <w:pStyle w:val="5"/>
        <w:keepNext/>
        <w:keepLines/>
        <w:ind w:firstLine="420"/>
        <w:rPr>
          <w:highlight w:val="none"/>
        </w:rPr>
      </w:pPr>
      <w:r>
        <w:rPr>
          <w:rFonts w:hint="eastAsia"/>
          <w:highlight w:val="none"/>
        </w:rPr>
        <w:t>甲方应于甲方授权书载明的生效时间前，提前一个工作日以传真、电子邮件或双方认可的其他方式向乙方发出甲方授权书，甲方授权书应加盖甲方公章。乙方收到甲方授权书后确认对甲方授权书的通知内容已知悉。授权自乙方确认后按甲方授权书中所载明的生效时间生效。甲方应在传真、电子邮件或双方认可的其他方式发送给乙方之后五个工作日内将甲方授权书原件送交乙方。授权书原件应与传真件或通过电子邮件发送的扫描件内容一致，若有不一致的，以传真件或扫描件为准，逾期未交付正本，亦以传真件或扫描件的内容为准。</w:t>
      </w:r>
    </w:p>
    <w:p>
      <w:pPr>
        <w:pStyle w:val="4"/>
        <w:keepNext/>
        <w:keepLines/>
        <w:ind w:left="0" w:firstLine="420"/>
        <w:rPr>
          <w:highlight w:val="none"/>
        </w:rPr>
      </w:pPr>
      <w:r>
        <w:rPr>
          <w:rFonts w:hint="eastAsia"/>
          <w:highlight w:val="none"/>
        </w:rPr>
        <w:t>授权内容的变更</w:t>
      </w:r>
    </w:p>
    <w:p>
      <w:pPr>
        <w:pStyle w:val="5"/>
        <w:keepNext/>
        <w:keepLines/>
        <w:ind w:firstLine="420"/>
        <w:rPr>
          <w:highlight w:val="none"/>
        </w:rPr>
      </w:pPr>
      <w:r>
        <w:rPr>
          <w:rFonts w:hint="eastAsia"/>
          <w:highlight w:val="none"/>
        </w:rPr>
        <w:t>甲方若对甲方授权书的内容进行变更（包括但不限于指令签发人员的名单、权限、使用规则的修改），应当于变更后的甲方授权书载明的生效时间前，至少提前三个工作日通知乙方；变更后的甲方授权书中应该明确变更内容的生效日，变更后的甲方授权书应由甲方加盖公章。</w:t>
      </w:r>
    </w:p>
    <w:p>
      <w:pPr>
        <w:pStyle w:val="5"/>
        <w:keepNext/>
        <w:keepLines/>
        <w:ind w:firstLine="420"/>
        <w:rPr>
          <w:highlight w:val="none"/>
        </w:rPr>
      </w:pPr>
      <w:r>
        <w:rPr>
          <w:highlight w:val="none"/>
        </w:rPr>
        <w:t>甲方对甲方授权书的变更应当以书面传真、电子邮件或双方认可的其他方式发送给乙方，乙方确认对甲方授权书的变更内容已知悉。甲方应在传真、电子邮件或双方认可的其他方式发送给乙方之后五个工作日内将变更后的甲方授权书原件送交乙方。授权书原件应与传真件或电子邮件中的扫描件内容一致，若有不一致的，以传真件或扫描件为准，逾期未交付原本，亦以传真件或扫描件的内容为准。甲方对甲方授权书内容的变更自乙方确认后按照变更后的甲方授权书载明的生效日期生效，若载明的生效日期早于乙方确认的，则授权变更通知自乙方确认起生效。授权变更通知生效之前，原被授权人及其签名或盖章继续有效。</w:t>
      </w:r>
      <w:r>
        <w:rPr>
          <w:rFonts w:hint="eastAsia"/>
          <w:highlight w:val="none"/>
        </w:rPr>
        <w:t>如果甲方授权人员名单、权限有变化时，未能按本协议约定及时通知乙方并预留新的印鉴和签名样本而给理财产品财产或者投资者造成损失的，托管人不承担任何形式的责任。</w:t>
      </w:r>
    </w:p>
    <w:p>
      <w:pPr>
        <w:pStyle w:val="5"/>
        <w:keepNext/>
        <w:keepLines/>
        <w:ind w:firstLine="420"/>
        <w:rPr>
          <w:highlight w:val="none"/>
        </w:rPr>
      </w:pPr>
      <w:r>
        <w:rPr>
          <w:rFonts w:hint="eastAsia"/>
          <w:highlight w:val="none"/>
        </w:rPr>
        <w:t>甲方和乙方对甲方授权书及其变更负有保密义务，其内容不得向指令签发人员及相关操作人员以外的任何人披露、泄露。法律法规另有规定的以及监督检查、审计需要的除外。</w:t>
      </w:r>
    </w:p>
    <w:p>
      <w:pPr>
        <w:pStyle w:val="5"/>
        <w:keepNext/>
        <w:keepLines/>
        <w:ind w:firstLine="420"/>
        <w:rPr>
          <w:highlight w:val="none"/>
        </w:rPr>
      </w:pPr>
      <w:r>
        <w:rPr>
          <w:rFonts w:hint="eastAsia"/>
          <w:highlight w:val="none"/>
        </w:rPr>
        <w:t>乙方保证对于其根据本协议所获得的所有关于甲方被授权人员的个人信息严格保密，并责成全体雇员及其任何有可能接触到上述信息的人员保守秘密。未经对方书面同意，任何乙方不得向任何第三方披露上述机密，但因法律法规规定、有权机关要求的除外。</w:t>
      </w:r>
    </w:p>
    <w:p>
      <w:pPr>
        <w:pStyle w:val="4"/>
        <w:keepNext/>
        <w:keepLines/>
        <w:ind w:left="0" w:firstLine="420"/>
        <w:rPr>
          <w:highlight w:val="none"/>
        </w:rPr>
      </w:pPr>
      <w:r>
        <w:rPr>
          <w:rFonts w:hint="eastAsia"/>
          <w:highlight w:val="none"/>
        </w:rPr>
        <w:t>划款指令的内容</w:t>
      </w:r>
    </w:p>
    <w:p>
      <w:pPr>
        <w:pStyle w:val="5"/>
        <w:keepNext/>
        <w:keepLines/>
        <w:numPr>
          <w:ilvl w:val="2"/>
          <w:numId w:val="0"/>
        </w:numPr>
        <w:ind w:firstLine="420"/>
        <w:rPr>
          <w:rFonts w:ascii="Calibri" w:hAnsi="Calibri"/>
          <w:bCs w:val="0"/>
          <w:szCs w:val="24"/>
          <w:highlight w:val="none"/>
        </w:rPr>
      </w:pPr>
      <w:r>
        <w:rPr>
          <w:rFonts w:hint="eastAsia" w:ascii="Calibri" w:hAnsi="Calibri"/>
          <w:bCs w:val="0"/>
          <w:szCs w:val="24"/>
          <w:highlight w:val="none"/>
        </w:rPr>
        <w:t>划款指令的内容包括但不限于投资交易、管理费和托管费的支付等。甲方发给乙方的划款指令应写明划款日期、账户信息、金额、款项事由、大额支付号等执行支付所需相关信息。纸质划款指令应由甲方指令签发人员签名（章），并加盖授权印章。</w:t>
      </w:r>
    </w:p>
    <w:p>
      <w:pPr>
        <w:pStyle w:val="4"/>
        <w:keepNext/>
        <w:keepLines/>
        <w:ind w:left="0" w:firstLine="420"/>
        <w:rPr>
          <w:highlight w:val="none"/>
        </w:rPr>
      </w:pPr>
      <w:r>
        <w:rPr>
          <w:rFonts w:hint="eastAsia"/>
          <w:highlight w:val="none"/>
        </w:rPr>
        <w:t>划款指令的发送、确认</w:t>
      </w:r>
    </w:p>
    <w:p>
      <w:pPr>
        <w:pStyle w:val="5"/>
        <w:keepNext/>
        <w:keepLines/>
        <w:ind w:firstLine="420"/>
        <w:rPr>
          <w:highlight w:val="none"/>
        </w:rPr>
      </w:pPr>
      <w:r>
        <w:rPr>
          <w:rFonts w:hint="eastAsia"/>
          <w:highlight w:val="none"/>
        </w:rPr>
        <w:t>甲方发送的指令包括电子指令和纸质指令。</w:t>
      </w:r>
    </w:p>
    <w:p>
      <w:pPr>
        <w:pStyle w:val="5"/>
        <w:keepNext/>
        <w:keepLines/>
        <w:ind w:firstLine="420"/>
        <w:rPr>
          <w:highlight w:val="none"/>
        </w:rPr>
      </w:pPr>
      <w:r>
        <w:rPr>
          <w:rFonts w:hint="eastAsia"/>
          <w:highlight w:val="none"/>
        </w:rPr>
        <w:t>电子指令是甲方通过托管系统提交的包括但不限于划转投资款、托管费、管理费等电子指令的统称。</w:t>
      </w:r>
    </w:p>
    <w:p>
      <w:pPr>
        <w:pStyle w:val="5"/>
        <w:keepNext/>
        <w:keepLines/>
        <w:numPr>
          <w:ilvl w:val="255"/>
          <w:numId w:val="0"/>
        </w:numPr>
        <w:ind w:firstLine="420"/>
        <w:rPr>
          <w:highlight w:val="none"/>
        </w:rPr>
      </w:pPr>
      <w:r>
        <w:rPr>
          <w:rFonts w:hint="eastAsia"/>
          <w:highlight w:val="none"/>
        </w:rPr>
        <w:t>若甲方已与乙方建立深证通指令直连或其他以电子形式发送的指令，甲方应优先以电子指令形式向乙方发送指令，并应事先书面向乙方指定各业务类型投资指令的发送主渠道，以传真或电子邮件作为应急方式备用。</w:t>
      </w:r>
    </w:p>
    <w:p>
      <w:pPr>
        <w:pStyle w:val="5"/>
        <w:keepNext/>
        <w:keepLines/>
        <w:numPr>
          <w:ilvl w:val="255"/>
          <w:numId w:val="0"/>
        </w:numPr>
        <w:ind w:firstLine="420"/>
        <w:rPr>
          <w:highlight w:val="none"/>
        </w:rPr>
      </w:pPr>
      <w:r>
        <w:rPr>
          <w:rFonts w:hint="eastAsia"/>
          <w:highlight w:val="none"/>
        </w:rPr>
        <w:t>任何甲方通过托管系统直连服务</w:t>
      </w:r>
      <w:r>
        <w:rPr>
          <w:highlight w:val="none"/>
        </w:rPr>
        <w:t>发送的电子指令即作为甲方真实发起交易办理时的电子凭证，由甲方承担相应法律责任。对于网络传输过程中的外界因素导致电子指令被篡改的，</w:t>
      </w:r>
      <w:r>
        <w:rPr>
          <w:rFonts w:hint="eastAsia"/>
          <w:highlight w:val="none"/>
        </w:rPr>
        <w:t>由</w:t>
      </w:r>
      <w:r>
        <w:rPr>
          <w:highlight w:val="none"/>
        </w:rPr>
        <w:t>过错方承担责任。甲方发出的电子指令到达乙方且经乙方处理完毕后，甲方不得要求变更或撤销。甲方若发现账户变动与其实际交易操作不符，应在知道或应当知道错误发生之日起5个工作日内以书面形式通知乙方，在通知中应说明错误可能发生的原因、有关的账号、金额等具体情况。乙方应在自接到通知之日起7个工作日内告知甲方调查结果。如该错误确已发生并系仅由乙方原因造成，乙方应在告知甲方调查结果后3个工作日对错误加以纠正。如该错误仅由甲方原因造成，则由甲方自行负责。</w:t>
      </w:r>
    </w:p>
    <w:p>
      <w:pPr>
        <w:pStyle w:val="5"/>
        <w:keepNext/>
        <w:keepLines/>
        <w:numPr>
          <w:ilvl w:val="255"/>
          <w:numId w:val="0"/>
        </w:numPr>
        <w:ind w:firstLine="420"/>
        <w:rPr>
          <w:highlight w:val="none"/>
        </w:rPr>
      </w:pPr>
      <w:r>
        <w:rPr>
          <w:rFonts w:hint="eastAsia"/>
          <w:highlight w:val="none"/>
        </w:rPr>
        <w:t>甲方在使用托管系统或电子直连服务时，应按照乙方发布接口的规范发送电子指令，甲方在企业内部设置的托管系统直连服务管理人员和操作人员的一切行为（包括但不限于操作不当、欺诈、疏忽等）均由甲方负责。</w:t>
      </w:r>
    </w:p>
    <w:p>
      <w:pPr>
        <w:pStyle w:val="5"/>
        <w:keepNext/>
        <w:keepLines/>
        <w:ind w:firstLine="420"/>
        <w:rPr>
          <w:highlight w:val="none"/>
        </w:rPr>
      </w:pPr>
      <w:r>
        <w:rPr>
          <w:rFonts w:hint="eastAsia"/>
          <w:highlight w:val="none"/>
        </w:rPr>
        <w:t>纸质划款指令由甲方以传真、电子邮件或双方认可的其他方式向乙方发送，同时通知乙方。</w:t>
      </w:r>
    </w:p>
    <w:p>
      <w:pPr>
        <w:pStyle w:val="5"/>
        <w:keepNext/>
        <w:keepLines/>
        <w:ind w:firstLine="420"/>
        <w:rPr>
          <w:highlight w:val="none"/>
        </w:rPr>
      </w:pPr>
      <w:r>
        <w:rPr>
          <w:highlight w:val="none"/>
        </w:rPr>
        <w:t>甲方应按照本协议和有关法律法规的规定，在其合法的经营权限内发送划款指令；指令签发人员应按照其授权权限发送划款指令。对于指令签发人员发出的划款指令，甲方不得否认其效力。甲方有义务在发送指令后及时与乙方以录音电话的方式进行确认, 指令以获得乙方确认该指令已成功接收之时视为送达乙方。因甲方未能及时与乙方进行指令确认，致使资金未能及时到账所造成的损失，乙方不承担责任。乙方要求甲方另行发送相关交易解释、说明等文件，则视乙方确认收到上述有效文件的时间或投资指令的孰后者为指令送达时间。乙方依照“甲方授权书”规定的方法确认指令有效后，方可执行指令。</w:t>
      </w:r>
    </w:p>
    <w:p>
      <w:pPr>
        <w:pStyle w:val="5"/>
        <w:keepNext/>
        <w:keepLines/>
        <w:ind w:firstLine="420"/>
        <w:rPr>
          <w:highlight w:val="none"/>
        </w:rPr>
      </w:pPr>
      <w:r>
        <w:rPr>
          <w:highlight w:val="none"/>
        </w:rPr>
        <w:t>对于被授权人依照“甲方授权书”发出的指令，甲方不得否认其效力。甲方应按照相关法律法规以及本协议的规定，在其合法的经营权限和交易权限内发送划款指令，发送人应按照其授权权限发送划款指令。甲方在发送指令时，应为乙方预留足够的执行时间，除8.4.7中的特殊要求外，发送指令的截止时间为当天的</w:t>
      </w:r>
      <w:r>
        <w:rPr>
          <w:rFonts w:hint="eastAsia"/>
          <w:highlight w:val="none"/>
          <w:lang w:val="en-US" w:eastAsia="zh-CN"/>
        </w:rPr>
        <w:t>15</w:t>
      </w:r>
      <w:r>
        <w:rPr>
          <w:highlight w:val="none"/>
        </w:rPr>
        <w:t>:00（如遇特殊情况晚于截止时间，乙方尽量完成，但不承担因延误发送指令造成的任何损失。当日</w:t>
      </w:r>
      <w:r>
        <w:rPr>
          <w:rFonts w:hint="eastAsia"/>
          <w:highlight w:val="none"/>
          <w:lang w:val="en-US" w:eastAsia="zh-CN"/>
        </w:rPr>
        <w:t>15</w:t>
      </w:r>
      <w:r>
        <w:rPr>
          <w:highlight w:val="none"/>
        </w:rPr>
        <w:t xml:space="preserve">：00以后送达但未划款成功的指令，经乙方审核并与甲方电话确认后于支付日后一个工作日划出。），如甲方要求当天某一时点到账，则付款指令及相关证明材料（包括但不限于投资协议及相关补充协议等满足付款条件的证明材料）需提前 </w:t>
      </w:r>
      <w:r>
        <w:rPr>
          <w:rFonts w:hint="eastAsia"/>
          <w:highlight w:val="none"/>
        </w:rPr>
        <w:t>1</w:t>
      </w:r>
      <w:r>
        <w:rPr>
          <w:highlight w:val="none"/>
        </w:rPr>
        <w:t xml:space="preserve"> 个工作小时发送。有效划款指令是指指令要素（包括收款人、收款账号、金额（大、小写）、划款用途、到账时间、支付时间）准确无误、被授权人签章和预留印鉴相符、相关的指令附件齐全且头寸充足的划款指令。由甲方原因造成的指令传输不及时、未能留出足够划款所需时间，致使资金未能及时到账所造成的损失乙方不予承担。</w:t>
      </w:r>
    </w:p>
    <w:p>
      <w:pPr>
        <w:pStyle w:val="5"/>
        <w:keepNext/>
        <w:keepLines/>
        <w:ind w:firstLine="420"/>
        <w:rPr>
          <w:highlight w:val="none"/>
        </w:rPr>
      </w:pPr>
      <w:r>
        <w:rPr>
          <w:rFonts w:hint="eastAsia"/>
          <w:highlight w:val="none"/>
        </w:rPr>
        <w:t>乙方在收到有效指令后，将对于同一批次的划款指令随机执行，如有特殊支付顺序，甲方应以书面形式提前告知。</w:t>
      </w:r>
    </w:p>
    <w:p>
      <w:pPr>
        <w:pStyle w:val="5"/>
        <w:keepNext/>
        <w:keepLines/>
        <w:ind w:firstLine="420"/>
        <w:rPr>
          <w:highlight w:val="none"/>
        </w:rPr>
      </w:pPr>
      <w:r>
        <w:rPr>
          <w:rFonts w:hint="eastAsia"/>
          <w:highlight w:val="none"/>
        </w:rPr>
        <w:t>各类划款指令的其他发送要求</w:t>
      </w:r>
    </w:p>
    <w:p>
      <w:pPr>
        <w:pStyle w:val="7"/>
        <w:numPr>
          <w:ilvl w:val="0"/>
          <w:numId w:val="9"/>
        </w:numPr>
        <w:ind w:left="0" w:firstLine="420"/>
        <w:rPr>
          <w:highlight w:val="none"/>
        </w:rPr>
      </w:pPr>
      <w:r>
        <w:rPr>
          <w:rFonts w:hint="eastAsia"/>
          <w:highlight w:val="none"/>
        </w:rPr>
        <w:t>认购、申购公开募集证券投资基金的交易投资的划付</w:t>
      </w:r>
    </w:p>
    <w:p>
      <w:pPr>
        <w:pStyle w:val="5"/>
        <w:keepNext/>
        <w:keepLines/>
        <w:numPr>
          <w:ilvl w:val="2"/>
          <w:numId w:val="0"/>
        </w:numPr>
        <w:ind w:firstLine="420"/>
        <w:rPr>
          <w:rFonts w:ascii="Calibri" w:hAnsi="Calibri"/>
          <w:bCs w:val="0"/>
          <w:szCs w:val="24"/>
          <w:highlight w:val="none"/>
        </w:rPr>
      </w:pPr>
      <w:r>
        <w:rPr>
          <w:rFonts w:hint="eastAsia" w:ascii="Calibri" w:hAnsi="Calibri"/>
          <w:bCs w:val="0"/>
          <w:szCs w:val="24"/>
          <w:highlight w:val="none"/>
        </w:rPr>
        <w:t>甲方需为理财产品认、申购公开募集证券投资基金时，甲方应于投资交易当日</w:t>
      </w:r>
      <w:r>
        <w:rPr>
          <w:rFonts w:hint="eastAsia" w:ascii="Calibri" w:hAnsi="Calibri"/>
          <w:bCs w:val="0"/>
          <w:szCs w:val="24"/>
          <w:highlight w:val="none"/>
          <w:lang w:val="en-US" w:eastAsia="zh-CN"/>
        </w:rPr>
        <w:t>14</w:t>
      </w:r>
      <w:r>
        <w:rPr>
          <w:rFonts w:hint="eastAsia" w:ascii="Calibri" w:hAnsi="Calibri"/>
          <w:bCs w:val="0"/>
          <w:szCs w:val="24"/>
          <w:highlight w:val="none"/>
        </w:rPr>
        <w:t>:00前向乙方提供申购申请书及划款指令。</w:t>
      </w:r>
    </w:p>
    <w:p>
      <w:pPr>
        <w:pStyle w:val="7"/>
        <w:numPr>
          <w:ilvl w:val="0"/>
          <w:numId w:val="9"/>
        </w:numPr>
        <w:ind w:left="0" w:firstLine="420"/>
        <w:rPr>
          <w:highlight w:val="none"/>
        </w:rPr>
      </w:pPr>
      <w:r>
        <w:rPr>
          <w:rFonts w:hint="eastAsia"/>
          <w:highlight w:val="none"/>
        </w:rPr>
        <w:t>银证转账的划付</w:t>
      </w:r>
    </w:p>
    <w:p>
      <w:pPr>
        <w:pStyle w:val="5"/>
        <w:keepNext/>
        <w:keepLines/>
        <w:numPr>
          <w:ilvl w:val="2"/>
          <w:numId w:val="0"/>
        </w:numPr>
        <w:ind w:firstLine="420"/>
        <w:rPr>
          <w:rFonts w:ascii="Calibri" w:hAnsi="Calibri"/>
          <w:bCs w:val="0"/>
          <w:szCs w:val="24"/>
          <w:highlight w:val="none"/>
        </w:rPr>
      </w:pPr>
      <w:r>
        <w:rPr>
          <w:rFonts w:hint="eastAsia" w:ascii="Calibri" w:hAnsi="Calibri"/>
          <w:bCs w:val="0"/>
          <w:szCs w:val="24"/>
          <w:highlight w:val="none"/>
        </w:rPr>
        <w:t>银证转账指令应于划款日下午</w:t>
      </w:r>
      <w:r>
        <w:rPr>
          <w:rFonts w:hint="eastAsia" w:ascii="Calibri" w:hAnsi="Calibri"/>
          <w:bCs w:val="0"/>
          <w:szCs w:val="24"/>
          <w:highlight w:val="none"/>
          <w:lang w:val="en-US" w:eastAsia="zh-CN"/>
        </w:rPr>
        <w:t>14</w:t>
      </w:r>
      <w:r>
        <w:rPr>
          <w:rFonts w:hint="eastAsia" w:ascii="Calibri" w:hAnsi="Calibri"/>
          <w:bCs w:val="0"/>
          <w:szCs w:val="24"/>
          <w:highlight w:val="none"/>
        </w:rPr>
        <w:t>:</w:t>
      </w:r>
      <w:r>
        <w:rPr>
          <w:rFonts w:ascii="Calibri" w:hAnsi="Calibri"/>
          <w:bCs w:val="0"/>
          <w:szCs w:val="24"/>
          <w:highlight w:val="none"/>
        </w:rPr>
        <w:t>00</w:t>
      </w:r>
      <w:r>
        <w:rPr>
          <w:rFonts w:hint="eastAsia" w:ascii="Calibri" w:hAnsi="Calibri"/>
          <w:bCs w:val="0"/>
          <w:szCs w:val="24"/>
          <w:highlight w:val="none"/>
        </w:rPr>
        <w:t>之前以传真、电子邮件或双方认可的其他方式送达乙方。</w:t>
      </w:r>
    </w:p>
    <w:p>
      <w:pPr>
        <w:pStyle w:val="7"/>
        <w:numPr>
          <w:ilvl w:val="0"/>
          <w:numId w:val="9"/>
        </w:numPr>
        <w:ind w:left="0" w:firstLine="420"/>
        <w:rPr>
          <w:highlight w:val="none"/>
        </w:rPr>
      </w:pPr>
      <w:r>
        <w:rPr>
          <w:rFonts w:hint="eastAsia"/>
          <w:highlight w:val="none"/>
        </w:rPr>
        <w:t>其他场外投资交易的划付</w:t>
      </w:r>
    </w:p>
    <w:p>
      <w:pPr>
        <w:pStyle w:val="5"/>
        <w:keepNext/>
        <w:keepLines/>
        <w:numPr>
          <w:ilvl w:val="2"/>
          <w:numId w:val="0"/>
        </w:numPr>
        <w:ind w:firstLine="420"/>
        <w:rPr>
          <w:rFonts w:ascii="Calibri" w:hAnsi="Calibri"/>
          <w:bCs w:val="0"/>
          <w:szCs w:val="24"/>
          <w:highlight w:val="none"/>
        </w:rPr>
      </w:pPr>
      <w:r>
        <w:rPr>
          <w:rFonts w:hint="eastAsia" w:ascii="Calibri" w:hAnsi="Calibri"/>
          <w:bCs w:val="0"/>
          <w:szCs w:val="24"/>
          <w:highlight w:val="none"/>
        </w:rPr>
        <w:t>甲方需为理财产品进行其他场外投资交易时，应及时向乙方提交理财产品与交易对手签署的表明投资金额、期限及回款方式的相关交易文件</w:t>
      </w:r>
      <w:r>
        <w:rPr>
          <w:rFonts w:hint="eastAsia"/>
          <w:highlight w:val="none"/>
        </w:rPr>
        <w:t>（扫描件须由甲方负责与原件核对一致）</w:t>
      </w:r>
      <w:r>
        <w:rPr>
          <w:rFonts w:hint="eastAsia" w:ascii="Calibri" w:hAnsi="Calibri"/>
          <w:bCs w:val="0"/>
          <w:szCs w:val="24"/>
          <w:highlight w:val="none"/>
        </w:rPr>
        <w:t>。如甲方未能留给乙方本协议规定的审核时间，乙方有权暂缓执行划款指令，由此导致的任何后果，乙方不承担任何形式的责任。划款指令的划款金额及收款账户信息必须与相关交易文件规定的投资金额和收款账号一致，否则乙方有权拒绝支付。如相关交易文件规定必须取得行使依据后方能支付款项的，甲方必须按照第5.3条规定向乙方提交行使依据后，乙方予以执行相应款项的划款指令。</w:t>
      </w:r>
    </w:p>
    <w:p>
      <w:pPr>
        <w:pStyle w:val="7"/>
        <w:numPr>
          <w:ilvl w:val="0"/>
          <w:numId w:val="9"/>
        </w:numPr>
        <w:ind w:left="0" w:firstLine="420"/>
        <w:rPr>
          <w:highlight w:val="none"/>
        </w:rPr>
      </w:pPr>
      <w:r>
        <w:rPr>
          <w:rFonts w:hint="eastAsia"/>
          <w:highlight w:val="none"/>
        </w:rPr>
        <w:t>如甲方划款指令传输不及时，未能留出足够的执行时间，或未按照上述条款要求办理相关操作，致使划款指令未能及时执行的，乙方不承担由此导致的损失。</w:t>
      </w:r>
    </w:p>
    <w:p>
      <w:pPr>
        <w:pStyle w:val="4"/>
        <w:keepNext/>
        <w:keepLines/>
        <w:ind w:left="0" w:firstLine="420"/>
        <w:rPr>
          <w:highlight w:val="none"/>
        </w:rPr>
      </w:pPr>
      <w:r>
        <w:rPr>
          <w:rFonts w:hint="eastAsia"/>
          <w:highlight w:val="none"/>
        </w:rPr>
        <w:t>划款指令的执行</w:t>
      </w:r>
    </w:p>
    <w:p>
      <w:pPr>
        <w:pStyle w:val="5"/>
        <w:keepNext/>
        <w:keepLines/>
        <w:ind w:firstLine="420"/>
        <w:rPr>
          <w:highlight w:val="none"/>
        </w:rPr>
      </w:pPr>
      <w:r>
        <w:rPr>
          <w:highlight w:val="none"/>
        </w:rPr>
        <w:t>乙方收到甲方发送的指令后，应对划款指令进行表面一致性审查，验证指令的书面要素是否齐全、审核印鉴和签名是否和预留印鉴和签名样本表面性相符，复核无误后应在规定期限内及时执行，不得延误。若存在异议或不符，乙方应</w:t>
      </w:r>
      <w:r>
        <w:rPr>
          <w:rFonts w:hint="eastAsia"/>
          <w:highlight w:val="none"/>
          <w:lang w:val="en-US" w:eastAsia="zh-CN"/>
        </w:rPr>
        <w:t>及时</w:t>
      </w:r>
      <w:r>
        <w:rPr>
          <w:highlight w:val="none"/>
        </w:rPr>
        <w:t>与甲方指定人员进行电话联系和沟通，暂停指令的执行并要求甲方重新发送修改后的指令。乙方可以要求甲方传真或者邮件提供投资指令（如有）、</w:t>
      </w:r>
      <w:r>
        <w:rPr>
          <w:rFonts w:hint="eastAsia"/>
          <w:highlight w:val="none"/>
          <w:lang w:val="en-US" w:eastAsia="zh-CN"/>
        </w:rPr>
        <w:t>费用指令及收益分配等</w:t>
      </w:r>
      <w:r>
        <w:rPr>
          <w:highlight w:val="none"/>
        </w:rPr>
        <w:t>相关交易凭证、合同或其他有效会计资料，以确保乙方有足够的资料来判断指令的有效性。甲方应在合理时间内补充相关资料，并给乙方执行指令预留必要的执行时间。审查无误后应在规定期限内执行，不得延误。乙方仅对甲方提交的指令按照本协议的约定进行表面一致性审查，乙方不负责审查甲方发送指令同时提交的其他文件资料的合法性、真实性、完整性和有效性，甲方应保证上述文件资料合法、真实、完整和有效。如因甲方提供的上述文件不合法、不真实、不完整或失去效力而影响乙方的审核或给任何第三人带来损失，乙方不承担任何形式的责任。</w:t>
      </w:r>
    </w:p>
    <w:p>
      <w:pPr>
        <w:pStyle w:val="5"/>
        <w:keepNext/>
        <w:keepLines/>
        <w:ind w:firstLine="420"/>
        <w:rPr>
          <w:highlight w:val="none"/>
        </w:rPr>
      </w:pPr>
      <w:r>
        <w:rPr>
          <w:rFonts w:hint="eastAsia"/>
          <w:highlight w:val="none"/>
        </w:rPr>
        <w:t>投资交易相关划款指令的执行</w:t>
      </w:r>
    </w:p>
    <w:p>
      <w:pPr>
        <w:pStyle w:val="5"/>
        <w:keepNext/>
        <w:keepLines/>
        <w:numPr>
          <w:ilvl w:val="2"/>
          <w:numId w:val="0"/>
        </w:numPr>
        <w:ind w:firstLine="420"/>
        <w:rPr>
          <w:rFonts w:ascii="Calibri" w:hAnsi="Calibri"/>
          <w:bCs w:val="0"/>
          <w:szCs w:val="24"/>
          <w:highlight w:val="none"/>
        </w:rPr>
      </w:pPr>
      <w:r>
        <w:rPr>
          <w:rFonts w:hint="eastAsia" w:ascii="Calibri" w:hAnsi="Calibri"/>
          <w:bCs w:val="0"/>
          <w:szCs w:val="24"/>
          <w:highlight w:val="none"/>
        </w:rPr>
        <w:t>经乙方审核，划款指令在形式上满足本协议规定的，乙方应按划款指令的要求执行划款；对在形式上不满足本协议规定的划款指令可以不予执行并通知甲方及时改正。</w:t>
      </w:r>
    </w:p>
    <w:p>
      <w:pPr>
        <w:pStyle w:val="5"/>
        <w:keepNext/>
        <w:keepLines/>
        <w:ind w:firstLine="420"/>
        <w:rPr>
          <w:highlight w:val="none"/>
        </w:rPr>
      </w:pPr>
      <w:r>
        <w:rPr>
          <w:rFonts w:hint="eastAsia"/>
          <w:highlight w:val="none"/>
        </w:rPr>
        <w:t>理财产品费用相关划款指令的执行</w:t>
      </w:r>
    </w:p>
    <w:p>
      <w:pPr>
        <w:pStyle w:val="5"/>
        <w:keepNext/>
        <w:keepLines/>
        <w:numPr>
          <w:ilvl w:val="2"/>
          <w:numId w:val="0"/>
        </w:numPr>
        <w:ind w:firstLine="420"/>
        <w:rPr>
          <w:rFonts w:ascii="Calibri" w:hAnsi="Calibri"/>
          <w:bCs w:val="0"/>
          <w:szCs w:val="24"/>
          <w:highlight w:val="none"/>
        </w:rPr>
      </w:pPr>
      <w:r>
        <w:rPr>
          <w:rFonts w:hint="eastAsia" w:ascii="Calibri" w:hAnsi="Calibri"/>
          <w:bCs w:val="0"/>
          <w:szCs w:val="24"/>
          <w:highlight w:val="none"/>
        </w:rPr>
        <w:t>甲方发出支付管理费、托管费的划款指令，经乙方审核无误后，乙方执行划款。</w:t>
      </w:r>
    </w:p>
    <w:p>
      <w:pPr>
        <w:pStyle w:val="5"/>
        <w:keepNext/>
        <w:keepLines/>
        <w:ind w:firstLine="420"/>
        <w:rPr>
          <w:highlight w:val="none"/>
        </w:rPr>
      </w:pPr>
      <w:r>
        <w:rPr>
          <w:rFonts w:hint="eastAsia"/>
          <w:highlight w:val="none"/>
        </w:rPr>
        <w:t>其他理财产品费用的划付</w:t>
      </w:r>
    </w:p>
    <w:p>
      <w:pPr>
        <w:pStyle w:val="5"/>
        <w:keepNext/>
        <w:keepLines/>
        <w:numPr>
          <w:ilvl w:val="2"/>
          <w:numId w:val="0"/>
        </w:numPr>
        <w:ind w:firstLine="420"/>
        <w:rPr>
          <w:rFonts w:ascii="Calibri" w:hAnsi="Calibri"/>
          <w:bCs w:val="0"/>
          <w:szCs w:val="24"/>
          <w:highlight w:val="none"/>
        </w:rPr>
      </w:pPr>
      <w:r>
        <w:rPr>
          <w:rFonts w:hint="eastAsia" w:ascii="Calibri" w:hAnsi="Calibri"/>
          <w:bCs w:val="0"/>
          <w:szCs w:val="24"/>
          <w:highlight w:val="none"/>
        </w:rPr>
        <w:t>甲方如需要支付其他理财产品费用，应该向乙方提交划款指令和费用相关凭证。</w:t>
      </w:r>
    </w:p>
    <w:p>
      <w:pPr>
        <w:pStyle w:val="5"/>
        <w:keepNext/>
        <w:keepLines/>
        <w:ind w:firstLine="420"/>
        <w:rPr>
          <w:highlight w:val="none"/>
        </w:rPr>
      </w:pPr>
      <w:r>
        <w:rPr>
          <w:rFonts w:hint="eastAsia"/>
          <w:highlight w:val="none"/>
        </w:rPr>
        <w:t>银行间交易的结算费用等由乙方按甲方划款指令及相关材料支付。</w:t>
      </w:r>
    </w:p>
    <w:p>
      <w:pPr>
        <w:pStyle w:val="5"/>
        <w:keepNext/>
        <w:keepLines/>
        <w:ind w:firstLine="420"/>
        <w:rPr>
          <w:highlight w:val="none"/>
        </w:rPr>
      </w:pPr>
      <w:r>
        <w:rPr>
          <w:rFonts w:hint="eastAsia"/>
          <w:highlight w:val="none"/>
        </w:rPr>
        <w:t>甲方向乙方下达指令时，应确保本托管账户有足够的资金余额及划款手续费，对甲方在没有充足资金的情况下向乙方发出的指令，乙方有权不予执行，并</w:t>
      </w:r>
      <w:r>
        <w:rPr>
          <w:rFonts w:hint="eastAsia"/>
          <w:highlight w:val="none"/>
          <w:lang w:val="en-US" w:eastAsia="zh-CN"/>
        </w:rPr>
        <w:t>及时</w:t>
      </w:r>
      <w:r>
        <w:rPr>
          <w:rFonts w:hint="eastAsia"/>
          <w:highlight w:val="none"/>
        </w:rPr>
        <w:t>通知甲方，同时视资金账户资金余额充足时为指令送达时间，乙方不承担因为不执行该指令而造成损失的责任。</w:t>
      </w:r>
    </w:p>
    <w:p>
      <w:pPr>
        <w:pStyle w:val="5"/>
        <w:keepNext/>
        <w:keepLines/>
        <w:numPr>
          <w:ilvl w:val="2"/>
          <w:numId w:val="0"/>
        </w:numPr>
        <w:ind w:firstLine="420"/>
        <w:rPr>
          <w:rFonts w:ascii="Calibri" w:hAnsi="Calibri"/>
          <w:bCs w:val="0"/>
          <w:szCs w:val="24"/>
          <w:highlight w:val="none"/>
        </w:rPr>
      </w:pPr>
      <w:r>
        <w:rPr>
          <w:rFonts w:hint="eastAsia" w:ascii="Calibri" w:hAnsi="Calibri"/>
          <w:bCs w:val="0"/>
          <w:szCs w:val="24"/>
          <w:highlight w:val="none"/>
        </w:rPr>
        <w:t>理财产品托管账户发生的银行结算费用、银行账户维护费等银行费用（如有），由乙方直接从资金账户中扣划，无须甲方出具划款指令。</w:t>
      </w:r>
    </w:p>
    <w:p>
      <w:pPr>
        <w:pStyle w:val="5"/>
        <w:keepNext/>
        <w:keepLines/>
        <w:ind w:firstLine="420"/>
        <w:rPr>
          <w:highlight w:val="none"/>
        </w:rPr>
      </w:pPr>
      <w:r>
        <w:rPr>
          <w:rFonts w:hint="eastAsia"/>
          <w:highlight w:val="none"/>
        </w:rPr>
        <w:t>乙方依照本协议规定暂缓、拒绝执行指令的情形和处理程序资产</w:t>
      </w:r>
    </w:p>
    <w:p>
      <w:pPr>
        <w:pStyle w:val="5"/>
        <w:keepNext/>
        <w:keepLines/>
        <w:numPr>
          <w:ilvl w:val="2"/>
          <w:numId w:val="0"/>
        </w:numPr>
        <w:ind w:firstLine="420"/>
        <w:rPr>
          <w:rFonts w:ascii="Calibri" w:hAnsi="Calibri"/>
          <w:bCs w:val="0"/>
          <w:szCs w:val="24"/>
          <w:highlight w:val="none"/>
        </w:rPr>
      </w:pPr>
      <w:r>
        <w:rPr>
          <w:rFonts w:hint="eastAsia" w:ascii="Calibri" w:hAnsi="Calibri"/>
          <w:bCs w:val="0"/>
          <w:szCs w:val="24"/>
          <w:highlight w:val="none"/>
        </w:rPr>
        <w:t>乙方发现甲方发送的指令违反本协议的规定时，不予执行，并应及时以书面形式通知甲方纠正，甲方收到通知后应及时核对，并以书面形式对乙方发出回函确认，由此造成的损失由甲方承担。</w:t>
      </w:r>
    </w:p>
    <w:p>
      <w:pPr>
        <w:pStyle w:val="5"/>
        <w:keepNext/>
        <w:keepLines/>
        <w:ind w:firstLine="420"/>
        <w:rPr>
          <w:highlight w:val="none"/>
        </w:rPr>
      </w:pPr>
      <w:r>
        <w:rPr>
          <w:rFonts w:hint="eastAsia"/>
          <w:highlight w:val="none"/>
        </w:rPr>
        <w:t xml:space="preserve">甲方发送错误指令的情形和处理程序 </w:t>
      </w:r>
    </w:p>
    <w:p>
      <w:pPr>
        <w:pStyle w:val="5"/>
        <w:keepNext/>
        <w:keepLines/>
        <w:numPr>
          <w:ilvl w:val="2"/>
          <w:numId w:val="0"/>
        </w:numPr>
        <w:ind w:firstLine="420"/>
        <w:rPr>
          <w:rFonts w:ascii="Calibri" w:hAnsi="Calibri"/>
          <w:bCs w:val="0"/>
          <w:szCs w:val="24"/>
          <w:highlight w:val="none"/>
        </w:rPr>
      </w:pPr>
      <w:r>
        <w:rPr>
          <w:rFonts w:hint="eastAsia" w:ascii="Calibri" w:hAnsi="Calibri"/>
          <w:bCs w:val="0"/>
          <w:szCs w:val="24"/>
          <w:highlight w:val="none"/>
        </w:rPr>
        <w:t>甲方发送错误指令的情形包括指令发送人员无权或超越权限发送指令及交割信息错误，指令中重要信息模糊不清或不全等。乙方在履行监督职能时，发现甲方的指令错误时，有权拒绝执行，并及时通知甲方改正。</w:t>
      </w:r>
    </w:p>
    <w:p>
      <w:pPr>
        <w:pStyle w:val="5"/>
        <w:keepNext/>
        <w:keepLines/>
        <w:ind w:firstLine="420"/>
        <w:rPr>
          <w:highlight w:val="none"/>
        </w:rPr>
      </w:pPr>
      <w:r>
        <w:rPr>
          <w:rFonts w:hint="eastAsia"/>
          <w:highlight w:val="none"/>
        </w:rPr>
        <w:t xml:space="preserve">划款指令的保管 </w:t>
      </w:r>
    </w:p>
    <w:p>
      <w:pPr>
        <w:pStyle w:val="5"/>
        <w:keepNext/>
        <w:keepLines/>
        <w:numPr>
          <w:ilvl w:val="2"/>
          <w:numId w:val="0"/>
        </w:numPr>
        <w:ind w:firstLine="420"/>
        <w:rPr>
          <w:rFonts w:ascii="Calibri" w:hAnsi="Calibri"/>
          <w:bCs w:val="0"/>
          <w:szCs w:val="24"/>
          <w:highlight w:val="none"/>
        </w:rPr>
      </w:pPr>
      <w:r>
        <w:rPr>
          <w:rFonts w:hint="eastAsia" w:ascii="Calibri" w:hAnsi="Calibri"/>
          <w:bCs w:val="0"/>
          <w:szCs w:val="24"/>
          <w:highlight w:val="none"/>
        </w:rPr>
        <w:t>划款指令若以传真、电子邮件或双方认可的其他方式发出，则原件由甲方保管，乙方保管指令传真件或电子邮件中的扫描件。当原件与传真件或扫描件不一致时，以乙方收到的划款指令传真件或电子邮件中的扫描件为准。</w:t>
      </w:r>
    </w:p>
    <w:p>
      <w:pPr>
        <w:pStyle w:val="5"/>
        <w:keepNext/>
        <w:keepLines/>
        <w:ind w:firstLine="420"/>
        <w:rPr>
          <w:highlight w:val="none"/>
        </w:rPr>
      </w:pPr>
      <w:r>
        <w:rPr>
          <w:rFonts w:hint="eastAsia"/>
          <w:highlight w:val="none"/>
        </w:rPr>
        <w:t xml:space="preserve">相关责任 </w:t>
      </w:r>
    </w:p>
    <w:p>
      <w:pPr>
        <w:pStyle w:val="7"/>
        <w:keepNext/>
        <w:keepLines/>
        <w:numPr>
          <w:ilvl w:val="0"/>
          <w:numId w:val="10"/>
        </w:numPr>
        <w:ind w:left="0" w:firstLine="420"/>
        <w:rPr>
          <w:highlight w:val="none"/>
        </w:rPr>
      </w:pPr>
      <w:r>
        <w:rPr>
          <w:rFonts w:hint="eastAsia"/>
          <w:highlight w:val="none"/>
        </w:rPr>
        <w:t>乙方正确执行甲方符合本协议规定、合法合规的划款指令，理财产品财产发生损失的，乙方不承担任何形式的责任。</w:t>
      </w:r>
    </w:p>
    <w:p>
      <w:pPr>
        <w:pStyle w:val="7"/>
        <w:keepNext/>
        <w:keepLines/>
        <w:numPr>
          <w:ilvl w:val="0"/>
          <w:numId w:val="10"/>
        </w:numPr>
        <w:ind w:left="0" w:firstLine="420"/>
        <w:rPr>
          <w:highlight w:val="none"/>
        </w:rPr>
      </w:pPr>
      <w:r>
        <w:rPr>
          <w:rFonts w:hint="eastAsia"/>
          <w:highlight w:val="none"/>
        </w:rPr>
        <w:t>如果甲方的划款指令存在事实上未经授权、欺诈、伪造或未能按时提供划款指令人员的预留印鉴和签名或盖章样本等非乙方原因造成的情形，只要乙方根据本协议相关规定验证有关印鉴与签名或盖章无误，乙方不承担因正确执行有关指令而给甲方或理财产品财产或任何第三人带来的损失。</w:t>
      </w:r>
    </w:p>
    <w:p>
      <w:pPr>
        <w:pStyle w:val="7"/>
        <w:keepNext/>
        <w:keepLines/>
        <w:numPr>
          <w:ilvl w:val="0"/>
          <w:numId w:val="0"/>
        </w:numPr>
        <w:ind w:firstLine="480" w:firstLineChars="200"/>
        <w:rPr>
          <w:highlight w:val="none"/>
        </w:rPr>
      </w:pPr>
      <w:r>
        <w:rPr>
          <w:rFonts w:hint="eastAsia"/>
          <w:highlight w:val="none"/>
        </w:rPr>
        <w:t>3）在正常业务受理渠道和指令规定的时间内，因乙方故意或重大过失造成未能及时或正确执行指令而导致托管财产受损的，乙方应承担相应的赔偿责任。</w:t>
      </w:r>
    </w:p>
    <w:p>
      <w:pPr>
        <w:keepNext/>
        <w:keepLines/>
        <w:rPr>
          <w:highlight w:val="none"/>
        </w:rPr>
      </w:pPr>
    </w:p>
    <w:p>
      <w:pPr>
        <w:pStyle w:val="3"/>
        <w:keepNext/>
        <w:keepLines/>
        <w:rPr>
          <w:szCs w:val="28"/>
          <w:highlight w:val="none"/>
        </w:rPr>
      </w:pPr>
      <w:bookmarkStart w:id="64" w:name="_Toc8496"/>
      <w:bookmarkStart w:id="65" w:name="_Toc4402"/>
      <w:bookmarkStart w:id="66" w:name="_Toc4073"/>
      <w:bookmarkStart w:id="67" w:name="_Toc13962"/>
      <w:bookmarkStart w:id="68" w:name="_Toc1631"/>
      <w:bookmarkStart w:id="69" w:name="_Toc127449901"/>
      <w:bookmarkStart w:id="70" w:name="_Toc15892"/>
      <w:bookmarkStart w:id="71" w:name="_Toc21060"/>
      <w:bookmarkStart w:id="72" w:name="_Toc483227532"/>
      <w:bookmarkStart w:id="73" w:name="_Toc472689197"/>
      <w:r>
        <w:rPr>
          <w:rFonts w:hint="eastAsia"/>
          <w:szCs w:val="28"/>
          <w:highlight w:val="none"/>
        </w:rPr>
        <w:t>交易及清算交割安排</w:t>
      </w:r>
      <w:bookmarkEnd w:id="64"/>
      <w:bookmarkEnd w:id="65"/>
      <w:bookmarkEnd w:id="66"/>
      <w:bookmarkEnd w:id="67"/>
      <w:bookmarkEnd w:id="68"/>
      <w:bookmarkEnd w:id="69"/>
      <w:bookmarkEnd w:id="70"/>
      <w:bookmarkEnd w:id="71"/>
      <w:bookmarkEnd w:id="72"/>
      <w:bookmarkEnd w:id="73"/>
    </w:p>
    <w:p>
      <w:pPr>
        <w:pStyle w:val="189"/>
        <w:keepNext/>
        <w:keepLines/>
        <w:numPr>
          <w:ilvl w:val="0"/>
          <w:numId w:val="2"/>
        </w:numPr>
        <w:spacing w:line="360" w:lineRule="auto"/>
        <w:outlineLvl w:val="1"/>
        <w:rPr>
          <w:bCs/>
          <w:vanish/>
          <w:sz w:val="24"/>
          <w:szCs w:val="32"/>
          <w:highlight w:val="none"/>
        </w:rPr>
      </w:pPr>
    </w:p>
    <w:p>
      <w:pPr>
        <w:pStyle w:val="4"/>
        <w:keepNext/>
        <w:keepLines/>
        <w:ind w:left="0" w:firstLine="420"/>
        <w:rPr>
          <w:highlight w:val="none"/>
        </w:rPr>
      </w:pPr>
      <w:bookmarkStart w:id="74" w:name="_Toc398105372"/>
      <w:bookmarkStart w:id="75" w:name="_Toc398106046"/>
      <w:r>
        <w:rPr>
          <w:rFonts w:hint="eastAsia"/>
          <w:highlight w:val="none"/>
        </w:rPr>
        <w:t>本产品的证券交易所内的证券交易采用证券公司结算模式，由证券公司通过其在中国证券登记结算公司开立的客户结算备付金账户，完成包括理财产品证券交易在内的资金结算。</w:t>
      </w:r>
      <w:bookmarkEnd w:id="74"/>
      <w:bookmarkEnd w:id="75"/>
    </w:p>
    <w:p>
      <w:pPr>
        <w:pStyle w:val="5"/>
        <w:keepNext/>
        <w:keepLines/>
        <w:ind w:firstLine="420"/>
        <w:rPr>
          <w:highlight w:val="none"/>
        </w:rPr>
      </w:pPr>
      <w:r>
        <w:rPr>
          <w:rFonts w:hint="eastAsia"/>
          <w:highlight w:val="none"/>
        </w:rPr>
        <w:t>甲方负责选择代理本产品证券买卖的证券公司（经纪人），并将本产品适用的上交所和深交所的交易单元号、交易品种的费率表、佣金收取标准等书面通知乙方。</w:t>
      </w:r>
    </w:p>
    <w:p>
      <w:pPr>
        <w:pStyle w:val="5"/>
        <w:keepNext/>
        <w:keepLines/>
        <w:ind w:firstLine="420"/>
        <w:rPr>
          <w:highlight w:val="none"/>
        </w:rPr>
      </w:pPr>
      <w:r>
        <w:rPr>
          <w:rFonts w:hint="eastAsia"/>
          <w:highlight w:val="none"/>
        </w:rPr>
        <w:t>甲方、乙方及经纪人应另行签署《证券经纪服务协议》确定相关事宜。</w:t>
      </w:r>
    </w:p>
    <w:p>
      <w:pPr>
        <w:pStyle w:val="5"/>
        <w:keepNext/>
        <w:keepLines/>
        <w:ind w:firstLine="420"/>
        <w:rPr>
          <w:highlight w:val="none"/>
        </w:rPr>
      </w:pPr>
      <w:r>
        <w:rPr>
          <w:rFonts w:hint="eastAsia"/>
          <w:highlight w:val="none"/>
        </w:rPr>
        <w:t>交易数据发送和接收</w:t>
      </w:r>
    </w:p>
    <w:p>
      <w:pPr>
        <w:pStyle w:val="7"/>
        <w:numPr>
          <w:ilvl w:val="0"/>
          <w:numId w:val="11"/>
        </w:numPr>
        <w:ind w:left="0" w:firstLine="420"/>
        <w:rPr>
          <w:highlight w:val="none"/>
        </w:rPr>
      </w:pPr>
      <w:bookmarkStart w:id="76" w:name="_Toc398105375"/>
      <w:bookmarkStart w:id="77" w:name="_Toc398106049"/>
      <w:r>
        <w:rPr>
          <w:rFonts w:hint="eastAsia"/>
          <w:highlight w:val="none"/>
        </w:rPr>
        <w:t>乙方对因经纪人数据传输错误或不及时等过失造成的理财产品的损失不承担责任。如数据传输不成功，甲方应确保经纪人按照乙方的要求以电子邮件或人工送达方式应急传输数据。</w:t>
      </w:r>
      <w:bookmarkEnd w:id="76"/>
      <w:bookmarkEnd w:id="77"/>
    </w:p>
    <w:p>
      <w:pPr>
        <w:pStyle w:val="7"/>
        <w:numPr>
          <w:ilvl w:val="0"/>
          <w:numId w:val="11"/>
        </w:numPr>
        <w:ind w:left="0" w:firstLine="420"/>
        <w:rPr>
          <w:highlight w:val="none"/>
        </w:rPr>
      </w:pPr>
      <w:bookmarkStart w:id="78" w:name="_Toc398106051"/>
      <w:bookmarkStart w:id="79" w:name="_Toc398105377"/>
      <w:r>
        <w:rPr>
          <w:rFonts w:hint="eastAsia"/>
          <w:highlight w:val="none"/>
        </w:rPr>
        <w:t>任何一方数据传输人员发生变更时，变更方须以约定方式通知另外两方，通知时必须说明变更时间、人员、事项等；</w:t>
      </w:r>
      <w:bookmarkEnd w:id="78"/>
      <w:bookmarkEnd w:id="79"/>
    </w:p>
    <w:p>
      <w:pPr>
        <w:pStyle w:val="7"/>
        <w:numPr>
          <w:ilvl w:val="0"/>
          <w:numId w:val="11"/>
        </w:numPr>
        <w:ind w:left="0" w:firstLine="420"/>
        <w:rPr>
          <w:highlight w:val="none"/>
        </w:rPr>
      </w:pPr>
      <w:bookmarkStart w:id="80" w:name="_Toc398106052"/>
      <w:bookmarkStart w:id="81" w:name="_Toc398105378"/>
      <w:r>
        <w:rPr>
          <w:rFonts w:hint="eastAsia"/>
          <w:highlight w:val="none"/>
        </w:rPr>
        <w:t>乙方每日根据甲方所发送的交易数据、清算数据和清算划款指令，进行账务处理。</w:t>
      </w:r>
      <w:bookmarkEnd w:id="80"/>
      <w:bookmarkEnd w:id="81"/>
    </w:p>
    <w:p>
      <w:pPr>
        <w:pStyle w:val="5"/>
        <w:keepNext/>
        <w:keepLines/>
        <w:ind w:firstLine="420"/>
        <w:rPr>
          <w:highlight w:val="none"/>
        </w:rPr>
      </w:pPr>
      <w:bookmarkStart w:id="82" w:name="_Toc398105379"/>
      <w:bookmarkStart w:id="83" w:name="_Toc398106053"/>
      <w:r>
        <w:rPr>
          <w:rFonts w:hint="eastAsia"/>
          <w:highlight w:val="none"/>
        </w:rPr>
        <w:t>证券清算交割及账目核对</w:t>
      </w:r>
      <w:bookmarkEnd w:id="82"/>
      <w:bookmarkEnd w:id="83"/>
    </w:p>
    <w:p>
      <w:pPr>
        <w:pStyle w:val="7"/>
        <w:keepNext/>
        <w:keepLines/>
        <w:numPr>
          <w:ilvl w:val="0"/>
          <w:numId w:val="12"/>
        </w:numPr>
        <w:ind w:left="0" w:firstLine="420"/>
        <w:rPr>
          <w:highlight w:val="none"/>
        </w:rPr>
      </w:pPr>
      <w:bookmarkStart w:id="84" w:name="_Toc398105381"/>
      <w:bookmarkStart w:id="85" w:name="_Toc398106055"/>
      <w:r>
        <w:rPr>
          <w:rFonts w:hint="eastAsia"/>
          <w:highlight w:val="none"/>
        </w:rPr>
        <w:t>每日上午</w:t>
      </w:r>
      <w:r>
        <w:rPr>
          <w:rFonts w:ascii="Calibri" w:hAnsi="Calibri"/>
          <w:bCs w:val="0"/>
          <w:szCs w:val="24"/>
          <w:highlight w:val="none"/>
        </w:rPr>
        <w:t>11</w:t>
      </w:r>
      <w:r>
        <w:rPr>
          <w:rFonts w:hint="eastAsia" w:ascii="Calibri" w:hAnsi="Calibri"/>
          <w:bCs w:val="0"/>
          <w:szCs w:val="24"/>
          <w:highlight w:val="none"/>
        </w:rPr>
        <w:t>:</w:t>
      </w:r>
      <w:r>
        <w:rPr>
          <w:rFonts w:ascii="Calibri" w:hAnsi="Calibri"/>
          <w:bCs w:val="0"/>
          <w:szCs w:val="24"/>
          <w:highlight w:val="none"/>
        </w:rPr>
        <w:t>00</w:t>
      </w:r>
      <w:r>
        <w:rPr>
          <w:rFonts w:hint="eastAsia"/>
          <w:highlight w:val="none"/>
        </w:rPr>
        <w:t>甲方和乙方核对上一个交易日的证券清算款、银行托管专户的存款余额以及上一交易日证券交易资金账户余额。</w:t>
      </w:r>
      <w:bookmarkEnd w:id="84"/>
      <w:bookmarkEnd w:id="85"/>
    </w:p>
    <w:p>
      <w:pPr>
        <w:pStyle w:val="7"/>
        <w:keepNext/>
        <w:keepLines/>
        <w:numPr>
          <w:ilvl w:val="0"/>
          <w:numId w:val="12"/>
        </w:numPr>
        <w:ind w:left="0" w:firstLine="420"/>
        <w:rPr>
          <w:highlight w:val="none"/>
        </w:rPr>
      </w:pPr>
      <w:r>
        <w:rPr>
          <w:rFonts w:hint="eastAsia"/>
          <w:highlight w:val="none"/>
        </w:rPr>
        <w:t>资金划转的方式在符合银行资金结算的有关规定的前提下可由甲方和乙方共同商定。</w:t>
      </w:r>
    </w:p>
    <w:p>
      <w:pPr>
        <w:pStyle w:val="4"/>
        <w:keepNext/>
        <w:keepLines/>
        <w:ind w:left="0" w:firstLine="420"/>
        <w:rPr>
          <w:highlight w:val="none"/>
        </w:rPr>
      </w:pPr>
      <w:r>
        <w:rPr>
          <w:rFonts w:hint="eastAsia"/>
          <w:highlight w:val="none"/>
        </w:rPr>
        <w:t>本协议项下的托管资产若需投资于定期存款须遵守以下各项：</w:t>
      </w:r>
    </w:p>
    <w:p>
      <w:pPr>
        <w:pStyle w:val="5"/>
        <w:keepNext/>
        <w:keepLines/>
        <w:ind w:firstLine="420"/>
        <w:rPr>
          <w:highlight w:val="none"/>
        </w:rPr>
      </w:pPr>
      <w:r>
        <w:rPr>
          <w:rFonts w:hint="eastAsia"/>
          <w:highlight w:val="none"/>
        </w:rPr>
        <w:t>甲方与存款行签订的存款协议条款格式应在定期存款起息日的前一个工作日发送给乙方，定期存款的划款指令及存款协议盖章版（传真件或扫描件）最迟不得晚于起息日指令截至时间提交乙方。定期存款账户的户名应与托管户名一致，存款账户的预留印鉴应至少预留</w:t>
      </w:r>
      <w:r>
        <w:rPr>
          <w:highlight w:val="none"/>
        </w:rPr>
        <w:t>一枚乙方指定印章。</w:t>
      </w:r>
    </w:p>
    <w:p>
      <w:pPr>
        <w:pStyle w:val="5"/>
        <w:keepNext/>
        <w:keepLines/>
        <w:ind w:firstLine="420"/>
        <w:rPr>
          <w:highlight w:val="none"/>
        </w:rPr>
      </w:pPr>
      <w:r>
        <w:rPr>
          <w:rFonts w:hint="eastAsia"/>
          <w:highlight w:val="none"/>
        </w:rPr>
        <w:t>存款银行无法在存入日17:00前向乙方送达存款证实书的，甲方应敦促存款银行将存款证实扫描件发送至乙方。存款证实书送达乙方后，乙方负责保管存款证实书原件。乙方仅对存款证实书进行形式审核，形式审核内容为账户名称、起息日、到期日、金额、利率。乙方不对存款证实书真实性承担审核职责。</w:t>
      </w:r>
    </w:p>
    <w:p>
      <w:pPr>
        <w:pStyle w:val="5"/>
        <w:keepNext/>
        <w:keepLines/>
        <w:ind w:firstLine="420"/>
        <w:rPr>
          <w:highlight w:val="none"/>
        </w:rPr>
      </w:pPr>
      <w:r>
        <w:rPr>
          <w:rFonts w:hint="eastAsia"/>
          <w:highlight w:val="none"/>
        </w:rPr>
        <w:t>甲方与存款银行签订的存款协议，应包括：</w:t>
      </w:r>
    </w:p>
    <w:p>
      <w:pPr>
        <w:pStyle w:val="7"/>
        <w:keepNext/>
        <w:keepLines/>
        <w:numPr>
          <w:ilvl w:val="0"/>
          <w:numId w:val="13"/>
        </w:numPr>
        <w:ind w:left="0" w:firstLine="420"/>
        <w:rPr>
          <w:highlight w:val="none"/>
        </w:rPr>
      </w:pPr>
      <w:r>
        <w:rPr>
          <w:rFonts w:hint="eastAsia"/>
          <w:highlight w:val="none"/>
        </w:rPr>
        <w:t>存款银行为托管资产办理定期存款业务的存款账户开立、资金存入和支取提供必要的支持和高效的结算服务；该存款协议中必须有如下明确条款：“存款证实书、存单不得以任何方式被质押，并不得用于转让和背书；本息到期归还或提前支取的所有款项必须划至托管专户（明确户名、开户行、账号等），不得划入其他任何账户”。如定期存款协议中未体现前述条款，托管人有权拒绝定期存款投资的划款指令。</w:t>
      </w:r>
    </w:p>
    <w:p>
      <w:pPr>
        <w:pStyle w:val="7"/>
        <w:keepNext/>
        <w:keepLines/>
        <w:numPr>
          <w:ilvl w:val="0"/>
          <w:numId w:val="13"/>
        </w:numPr>
        <w:ind w:left="0" w:firstLine="420"/>
        <w:rPr>
          <w:highlight w:val="none"/>
        </w:rPr>
      </w:pPr>
      <w:r>
        <w:rPr>
          <w:rFonts w:hint="eastAsia"/>
          <w:highlight w:val="none"/>
        </w:rPr>
        <w:t>存款银行为托管资产所投资的定期存款的存款证明文件提供上门服务，即：定期存款资金到账当日，存款银行派授权代理人以邮寄或其他指定方式将“存款证实书”（以下简称“证实书”）妥善送至乙方处。“证实书”移交给乙方之前，因“证实书”丢失、损毁而造成的一切损失由存款银行承担。</w:t>
      </w:r>
    </w:p>
    <w:p>
      <w:pPr>
        <w:pStyle w:val="7"/>
        <w:keepNext/>
        <w:keepLines/>
        <w:numPr>
          <w:ilvl w:val="0"/>
          <w:numId w:val="13"/>
        </w:numPr>
        <w:ind w:left="0" w:firstLine="420"/>
        <w:rPr>
          <w:highlight w:val="none"/>
        </w:rPr>
      </w:pPr>
      <w:r>
        <w:rPr>
          <w:rFonts w:hint="eastAsia"/>
          <w:highlight w:val="none"/>
        </w:rPr>
        <w:t>定期存款到期日当日或提前支取日当日，存款银行应派授权代理人前往乙方处或以其他指定方式提取“证实书”。“证实书”移交给存款行授权代理人之后，因“证实书”丢失、损毁而造成的一切损失由存款银行承担。</w:t>
      </w:r>
    </w:p>
    <w:p>
      <w:pPr>
        <w:pStyle w:val="7"/>
        <w:keepNext/>
        <w:keepLines/>
        <w:numPr>
          <w:ilvl w:val="0"/>
          <w:numId w:val="13"/>
        </w:numPr>
        <w:ind w:left="0" w:firstLine="420"/>
        <w:rPr>
          <w:highlight w:val="none"/>
        </w:rPr>
      </w:pPr>
      <w:r>
        <w:rPr>
          <w:rFonts w:hint="eastAsia"/>
          <w:highlight w:val="none"/>
        </w:rPr>
        <w:t>存款银行应至少提前一个工作日向乙方提供对前述授权代理人办理相关事务的书面授权书。授权代理人提供上门服务时，应出示有效身份证或工作证。</w:t>
      </w:r>
    </w:p>
    <w:p>
      <w:pPr>
        <w:pStyle w:val="7"/>
        <w:keepNext/>
        <w:keepLines/>
        <w:numPr>
          <w:ilvl w:val="0"/>
          <w:numId w:val="13"/>
        </w:numPr>
        <w:ind w:left="0" w:firstLine="420"/>
        <w:rPr>
          <w:highlight w:val="none"/>
        </w:rPr>
      </w:pPr>
      <w:r>
        <w:rPr>
          <w:rFonts w:hint="eastAsia"/>
          <w:highlight w:val="none"/>
        </w:rPr>
        <w:t>存款银行应保证及时支付存款本金和利息，于支取当日将本息划付至甲方开立在乙方的托管账户，并列明账户的开户行、账号、户名、大额支付号。存款银行应确认，定期存款的本息只能划入开立在乙方的相应托管账户或经乙方确认的指定账户。上述指定收款账户信息如需变更，必须经乙方书面同意。</w:t>
      </w:r>
    </w:p>
    <w:p>
      <w:pPr>
        <w:pStyle w:val="7"/>
        <w:keepNext/>
        <w:keepLines/>
        <w:numPr>
          <w:ilvl w:val="0"/>
          <w:numId w:val="13"/>
        </w:numPr>
        <w:ind w:left="0" w:firstLine="420"/>
        <w:rPr>
          <w:highlight w:val="none"/>
        </w:rPr>
      </w:pPr>
      <w:r>
        <w:rPr>
          <w:rFonts w:hint="eastAsia"/>
          <w:highlight w:val="none"/>
        </w:rPr>
        <w:t>存款银行应为定期存款业务提供定期对账服务。首次对账应不晚于存款资金存入后的一个自然月。除首次对账外，对账频率不少于每年一次。乙方应定期或不定期向存款银行发起对账申请，存款银行应配合乙方对“证实书”的书面征询。</w:t>
      </w:r>
    </w:p>
    <w:p>
      <w:pPr>
        <w:pStyle w:val="7"/>
        <w:keepNext/>
        <w:keepLines/>
        <w:numPr>
          <w:ilvl w:val="0"/>
          <w:numId w:val="13"/>
        </w:numPr>
        <w:ind w:left="0" w:firstLine="420"/>
        <w:rPr>
          <w:highlight w:val="none"/>
        </w:rPr>
      </w:pPr>
      <w:r>
        <w:rPr>
          <w:rFonts w:hint="eastAsia"/>
          <w:highlight w:val="none"/>
        </w:rPr>
        <w:t>在存款存续期内， “证实书”的预留印鉴发生变更的，存款银行应配合办理变更手续。</w:t>
      </w:r>
    </w:p>
    <w:p>
      <w:pPr>
        <w:pStyle w:val="4"/>
        <w:keepNext/>
        <w:keepLines/>
        <w:ind w:left="0" w:firstLine="420"/>
        <w:rPr>
          <w:highlight w:val="none"/>
        </w:rPr>
      </w:pPr>
      <w:r>
        <w:rPr>
          <w:rFonts w:hint="eastAsia"/>
          <w:highlight w:val="none"/>
        </w:rPr>
        <w:t>理财产品如投资通知存款、协议存款等的具体要求参照第9.</w:t>
      </w:r>
      <w:r>
        <w:rPr>
          <w:rFonts w:hint="eastAsia"/>
          <w:highlight w:val="none"/>
          <w:lang w:val="en-US" w:eastAsia="zh-CN"/>
        </w:rPr>
        <w:t>2</w:t>
      </w:r>
      <w:r>
        <w:rPr>
          <w:rFonts w:hint="eastAsia"/>
          <w:highlight w:val="none"/>
        </w:rPr>
        <w:t>条。</w:t>
      </w:r>
    </w:p>
    <w:p>
      <w:pPr>
        <w:pStyle w:val="4"/>
        <w:keepNext/>
        <w:keepLines/>
        <w:ind w:left="0" w:firstLine="420"/>
        <w:rPr>
          <w:highlight w:val="none"/>
        </w:rPr>
      </w:pPr>
      <w:r>
        <w:rPr>
          <w:rFonts w:hint="eastAsia"/>
          <w:highlight w:val="none"/>
        </w:rPr>
        <w:t>甲方应当理解，当乙方接受指令进行证券投资清算交割时，证券的交收和款项的收付可能不能同时完成。甲方在此承诺其将承担所有与其发出指令相关的证券交收和资金收付的信用风险。</w:t>
      </w:r>
    </w:p>
    <w:p>
      <w:pPr>
        <w:pStyle w:val="4"/>
        <w:keepNext/>
        <w:keepLines/>
        <w:ind w:left="0" w:firstLine="420"/>
        <w:rPr>
          <w:highlight w:val="none"/>
        </w:rPr>
      </w:pPr>
      <w:r>
        <w:rPr>
          <w:rFonts w:hint="eastAsia"/>
          <w:highlight w:val="none"/>
        </w:rPr>
        <w:t>甲方应当在相关市场允许的时间或与乙方事先约定的时间之前，向乙方发送资金调拨与清算的指令；并应保证在相关市场允许的时间和日期前托管账户具有充足的可以随时使用的资金进行证券交易资金清算。</w:t>
      </w:r>
    </w:p>
    <w:p>
      <w:pPr>
        <w:pStyle w:val="3"/>
        <w:rPr>
          <w:highlight w:val="none"/>
        </w:rPr>
      </w:pPr>
      <w:bookmarkStart w:id="86" w:name="_Toc18984"/>
      <w:bookmarkStart w:id="87" w:name="_Toc16441"/>
      <w:bookmarkStart w:id="88" w:name="_Toc127449902"/>
      <w:bookmarkStart w:id="89" w:name="_Toc17124"/>
      <w:bookmarkStart w:id="90" w:name="_Toc6907"/>
      <w:bookmarkStart w:id="91" w:name="_Toc8628"/>
      <w:bookmarkStart w:id="92" w:name="_Toc20557"/>
      <w:r>
        <w:rPr>
          <w:rFonts w:hint="eastAsia"/>
          <w:highlight w:val="none"/>
        </w:rPr>
        <w:t>投资监督</w:t>
      </w:r>
      <w:bookmarkEnd w:id="86"/>
      <w:bookmarkEnd w:id="87"/>
      <w:bookmarkEnd w:id="88"/>
      <w:bookmarkEnd w:id="89"/>
      <w:bookmarkEnd w:id="90"/>
      <w:bookmarkEnd w:id="91"/>
      <w:bookmarkEnd w:id="92"/>
    </w:p>
    <w:p>
      <w:pPr>
        <w:pStyle w:val="189"/>
        <w:keepNext/>
        <w:keepLines/>
        <w:numPr>
          <w:ilvl w:val="0"/>
          <w:numId w:val="2"/>
        </w:numPr>
        <w:spacing w:line="360" w:lineRule="auto"/>
        <w:outlineLvl w:val="1"/>
        <w:rPr>
          <w:bCs/>
          <w:vanish/>
          <w:sz w:val="24"/>
          <w:szCs w:val="32"/>
          <w:highlight w:val="none"/>
        </w:rPr>
      </w:pPr>
    </w:p>
    <w:p>
      <w:pPr>
        <w:pStyle w:val="4"/>
        <w:keepNext/>
        <w:keepLines/>
        <w:ind w:left="0" w:firstLine="420"/>
        <w:rPr>
          <w:highlight w:val="none"/>
        </w:rPr>
      </w:pPr>
      <w:r>
        <w:rPr>
          <w:rFonts w:hint="eastAsia"/>
          <w:highlight w:val="none"/>
        </w:rPr>
        <w:t>乙方对甲方的投资监督</w:t>
      </w:r>
    </w:p>
    <w:p>
      <w:pPr>
        <w:pStyle w:val="5"/>
        <w:keepNext/>
        <w:keepLines/>
        <w:ind w:firstLine="420"/>
        <w:rPr>
          <w:highlight w:val="none"/>
        </w:rPr>
      </w:pPr>
      <w:r>
        <w:rPr>
          <w:rFonts w:hint="eastAsia"/>
          <w:highlight w:val="none"/>
        </w:rPr>
        <w:t>乙方按照理财产品文件和法律法规的规定对理财产品的投资行为进行监督，对于单个理财产品的投资监督事项，甲方应在单个理财产品成立时同步提交投资监督事项表（见附件五），乙方具体监督事项以单个理财产品的投资监督事项表为准。</w:t>
      </w:r>
    </w:p>
    <w:p>
      <w:pPr>
        <w:pStyle w:val="5"/>
        <w:keepNext/>
        <w:keepLines/>
        <w:ind w:firstLine="420"/>
        <w:rPr>
          <w:highlight w:val="none"/>
        </w:rPr>
      </w:pPr>
      <w:r>
        <w:rPr>
          <w:rFonts w:hint="eastAsia"/>
          <w:highlight w:val="none"/>
        </w:rPr>
        <w:t>如理财产品的投资范围、投资比例等违反投资监督事项表的约定，乙方应当以电话、邮件或书面等形式正式提示甲方，并要求限期纠正，甲方应进行回函说明违规原因及纠正期限，乙方提示甲方视为乙方履行了投资监督义务。如甲方对乙方通知的违规事项未能在限期内纠正的，乙方有权报告国家金融监督管理总局。</w:t>
      </w:r>
    </w:p>
    <w:p>
      <w:pPr>
        <w:pStyle w:val="5"/>
        <w:keepNext/>
        <w:keepLines/>
        <w:ind w:firstLine="420"/>
        <w:rPr>
          <w:highlight w:val="none"/>
        </w:rPr>
      </w:pPr>
      <w:r>
        <w:rPr>
          <w:rFonts w:ascii="CMKVUO+·ÂËÎ_GB2312" w:hAnsi="CMKVUO+·ÂËÎ_GB2312" w:cs="CMKVUO+·ÂËÎ_GB2312"/>
          <w:highlight w:val="none"/>
        </w:rPr>
        <w:t>甲方可根据</w:t>
      </w:r>
      <w:r>
        <w:rPr>
          <w:rFonts w:hint="eastAsia" w:ascii="CMKVUO+·ÂËÎ_GB2312" w:hAnsi="CMKVUO+·ÂËÎ_GB2312" w:cs="CMKVUO+·ÂËÎ_GB2312"/>
          <w:highlight w:val="none"/>
        </w:rPr>
        <w:t>理财产品文件</w:t>
      </w:r>
      <w:r>
        <w:rPr>
          <w:rFonts w:ascii="CMKVUO+·ÂËÎ_GB2312" w:hAnsi="CMKVUO+·ÂËÎ_GB2312" w:cs="CMKVUO+·ÂËÎ_GB2312"/>
          <w:highlight w:val="none"/>
        </w:rPr>
        <w:t>的规定经与乙方协商后对《投资监督事项表》</w:t>
      </w:r>
      <w:r>
        <w:rPr>
          <w:highlight w:val="none"/>
        </w:rPr>
        <w:t>进行修订。</w:t>
      </w:r>
    </w:p>
    <w:p>
      <w:pPr>
        <w:pStyle w:val="4"/>
        <w:keepNext/>
        <w:keepLines/>
        <w:ind w:left="0" w:firstLine="420"/>
        <w:rPr>
          <w:highlight w:val="none"/>
        </w:rPr>
      </w:pPr>
      <w:r>
        <w:rPr>
          <w:highlight w:val="none"/>
        </w:rPr>
        <w:t>甲方确认，在向乙方发送投资交易相关的划款指令时，甲方所提供的交易合同或协议中所列示的进行交易的先决条件均已实现或取得，乙方不再对交易合同或协议中的相关先决条件进行审核。</w:t>
      </w:r>
    </w:p>
    <w:p>
      <w:pPr>
        <w:pStyle w:val="4"/>
        <w:keepNext/>
        <w:keepLines/>
        <w:ind w:left="0" w:firstLine="420"/>
        <w:rPr>
          <w:highlight w:val="none"/>
        </w:rPr>
      </w:pPr>
      <w:r>
        <w:rPr>
          <w:highlight w:val="none"/>
        </w:rPr>
        <w:t>甲方确认，乙方投资监督的真实性、准确性和完整性受限于甲方、证券经纪商、期货经纪商及其他中介机构提供的数据和信息，合规投资的责任在甲方。乙方对这些机构的信息的真实性、准确性和完整性不作任何担保、暗示或表示，并对上述机构提供的信息的错误或遗漏所引起的损失不承担任何责任。</w:t>
      </w:r>
    </w:p>
    <w:p>
      <w:pPr>
        <w:pStyle w:val="4"/>
        <w:keepNext/>
        <w:keepLines/>
        <w:ind w:left="0" w:firstLine="420"/>
        <w:rPr>
          <w:highlight w:val="none"/>
        </w:rPr>
      </w:pPr>
      <w:r>
        <w:rPr>
          <w:highlight w:val="none"/>
        </w:rPr>
        <w:t>乙方无投资责任，对任何甲方的投资行为（包括但不限于其策略及决定）或其投资回报不承担任何责任。乙方不会因为提供投资监督报告而承担任何因甲方违规投资所产生的有关责任，也没有义务去采取任何手段回应任何与投资监督报告有关的信息和报道。但如收到甲方的书面指示，乙方将对投资监督报告所述的违规行为提供有关资料。</w:t>
      </w:r>
    </w:p>
    <w:p>
      <w:pPr>
        <w:keepNext/>
        <w:keepLines/>
        <w:spacing w:line="360" w:lineRule="auto"/>
        <w:rPr>
          <w:highlight w:val="none"/>
        </w:rPr>
      </w:pPr>
      <w:r>
        <w:rPr>
          <w:highlight w:val="none"/>
        </w:rPr>
        <w:t xml:space="preserve">      </w:t>
      </w:r>
    </w:p>
    <w:p>
      <w:pPr>
        <w:pStyle w:val="3"/>
        <w:rPr>
          <w:szCs w:val="28"/>
          <w:highlight w:val="none"/>
        </w:rPr>
      </w:pPr>
      <w:bookmarkStart w:id="93" w:name="_Toc127449903"/>
      <w:bookmarkStart w:id="94" w:name="_Toc22526"/>
      <w:bookmarkStart w:id="95" w:name="_Toc22029"/>
      <w:bookmarkStart w:id="96" w:name="_Toc30263"/>
      <w:bookmarkStart w:id="97" w:name="_Toc8446"/>
      <w:bookmarkStart w:id="98" w:name="_Toc30324"/>
      <w:bookmarkStart w:id="99" w:name="_Toc16304"/>
      <w:bookmarkStart w:id="100" w:name="_Toc19821"/>
      <w:r>
        <w:rPr>
          <w:rFonts w:hint="eastAsia"/>
          <w:szCs w:val="28"/>
          <w:highlight w:val="none"/>
        </w:rPr>
        <w:t>会计核算与估值</w:t>
      </w:r>
      <w:bookmarkEnd w:id="93"/>
      <w:bookmarkEnd w:id="94"/>
      <w:bookmarkEnd w:id="95"/>
      <w:bookmarkEnd w:id="96"/>
      <w:bookmarkEnd w:id="97"/>
      <w:bookmarkEnd w:id="98"/>
      <w:bookmarkEnd w:id="99"/>
      <w:bookmarkEnd w:id="100"/>
    </w:p>
    <w:p>
      <w:pPr>
        <w:pStyle w:val="189"/>
        <w:keepNext/>
        <w:keepLines/>
        <w:numPr>
          <w:ilvl w:val="0"/>
          <w:numId w:val="2"/>
        </w:numPr>
        <w:spacing w:line="360" w:lineRule="auto"/>
        <w:outlineLvl w:val="1"/>
        <w:rPr>
          <w:bCs/>
          <w:vanish/>
          <w:sz w:val="24"/>
          <w:szCs w:val="32"/>
          <w:highlight w:val="none"/>
        </w:rPr>
      </w:pPr>
    </w:p>
    <w:p>
      <w:pPr>
        <w:pStyle w:val="4"/>
        <w:keepNext/>
        <w:keepLines/>
        <w:ind w:left="0" w:firstLine="420"/>
        <w:rPr>
          <w:highlight w:val="none"/>
        </w:rPr>
      </w:pPr>
      <w:r>
        <w:rPr>
          <w:rFonts w:hint="eastAsia"/>
          <w:highlight w:val="none"/>
        </w:rPr>
        <w:t>会计账簿的建立</w:t>
      </w:r>
    </w:p>
    <w:p>
      <w:pPr>
        <w:keepNext/>
        <w:keepLines/>
        <w:tabs>
          <w:tab w:val="left" w:pos="1260"/>
        </w:tabs>
        <w:spacing w:line="360" w:lineRule="auto"/>
        <w:ind w:firstLine="420"/>
        <w:rPr>
          <w:sz w:val="24"/>
          <w:highlight w:val="none"/>
        </w:rPr>
      </w:pPr>
      <w:r>
        <w:rPr>
          <w:rFonts w:hint="eastAsia" w:ascii="宋体" w:hAnsi="宋体"/>
          <w:sz w:val="24"/>
          <w:highlight w:val="none"/>
        </w:rPr>
        <w:t>甲乙双方应按照双方约定的同一记账方法和会计处理原则，分别独立地设置、登录和保管理财产品的全套账册，对双方各自的账册定期进行核对，互相监督，以保证理财产品财产的安全。本理财产品的会计责任方是甲方，资产净值计算和会计核算的义务由甲方承担。如经相关各方在平等协商基础上后，仍无法达成一致意见，以甲方对托管财产净值的计算结果为准。</w:t>
      </w:r>
    </w:p>
    <w:p>
      <w:pPr>
        <w:pStyle w:val="4"/>
        <w:keepNext/>
        <w:keepLines/>
        <w:ind w:left="0" w:firstLine="420"/>
        <w:rPr>
          <w:highlight w:val="none"/>
        </w:rPr>
      </w:pPr>
      <w:bookmarkStart w:id="101" w:name="_Toc77663017"/>
      <w:r>
        <w:rPr>
          <w:rFonts w:hint="eastAsia"/>
          <w:highlight w:val="none"/>
        </w:rPr>
        <w:t>理财产品资产净值及份额净值的计算与复核</w:t>
      </w:r>
      <w:bookmarkEnd w:id="101"/>
    </w:p>
    <w:p>
      <w:pPr>
        <w:pStyle w:val="5"/>
        <w:keepNext/>
        <w:keepLines/>
        <w:numPr>
          <w:ilvl w:val="2"/>
          <w:numId w:val="0"/>
        </w:numPr>
        <w:ind w:firstLine="420"/>
        <w:rPr>
          <w:rFonts w:ascii="宋体" w:hAnsi="宋体"/>
          <w:bCs w:val="0"/>
          <w:szCs w:val="24"/>
          <w:highlight w:val="none"/>
        </w:rPr>
      </w:pPr>
      <w:r>
        <w:rPr>
          <w:rFonts w:hint="eastAsia" w:ascii="Calibri" w:hAnsi="Calibri"/>
          <w:bCs w:val="0"/>
          <w:szCs w:val="24"/>
          <w:highlight w:val="none"/>
        </w:rPr>
        <w:t>理财产品资产净值是指理财产品资产总值减去负债后的价值。单位净值以</w:t>
      </w:r>
      <w:r>
        <w:rPr>
          <w:rFonts w:hint="eastAsia" w:ascii="宋体" w:hAnsi="宋体"/>
          <w:bCs w:val="0"/>
          <w:szCs w:val="24"/>
          <w:highlight w:val="none"/>
        </w:rPr>
        <w:t>理财产品资产净值除以当日理财产品存续份额总数计算。国家另有规定的，从其规定。</w:t>
      </w:r>
    </w:p>
    <w:p>
      <w:pPr>
        <w:pStyle w:val="5"/>
        <w:keepNext/>
        <w:keepLines/>
        <w:numPr>
          <w:ilvl w:val="2"/>
          <w:numId w:val="0"/>
        </w:numPr>
        <w:ind w:firstLine="420"/>
        <w:rPr>
          <w:rFonts w:ascii="Calibri" w:hAnsi="Calibri"/>
          <w:bCs w:val="0"/>
          <w:szCs w:val="24"/>
          <w:highlight w:val="none"/>
        </w:rPr>
      </w:pPr>
      <w:r>
        <w:rPr>
          <w:rFonts w:hint="eastAsia" w:ascii="Calibri" w:hAnsi="Calibri"/>
          <w:bCs w:val="0"/>
          <w:szCs w:val="24"/>
          <w:highlight w:val="none"/>
        </w:rPr>
        <w:t>甲方应每个估值日对理财产品资产估值。但甲方根据法律法规或理财产品文件的规定暂停估值时除外。</w:t>
      </w:r>
      <w:r>
        <w:rPr>
          <w:rFonts w:ascii="Calibri" w:hAnsi="Calibri"/>
          <w:bCs w:val="0"/>
          <w:szCs w:val="24"/>
          <w:highlight w:val="none"/>
        </w:rPr>
        <w:t>估值原则应符合</w:t>
      </w:r>
      <w:r>
        <w:rPr>
          <w:rFonts w:hint="eastAsia" w:ascii="Calibri" w:hAnsi="Calibri"/>
          <w:bCs w:val="0"/>
          <w:szCs w:val="24"/>
          <w:highlight w:val="none"/>
        </w:rPr>
        <w:t>国家</w:t>
      </w:r>
      <w:r>
        <w:rPr>
          <w:rFonts w:ascii="Calibri" w:hAnsi="Calibri"/>
          <w:bCs w:val="0"/>
          <w:szCs w:val="24"/>
          <w:highlight w:val="none"/>
        </w:rPr>
        <w:t>金融监督管理总局公布的理财产品相关估值管理办法。若</w:t>
      </w:r>
      <w:r>
        <w:rPr>
          <w:rFonts w:hint="eastAsia" w:ascii="Calibri" w:hAnsi="Calibri"/>
          <w:bCs w:val="0"/>
          <w:szCs w:val="24"/>
          <w:highlight w:val="none"/>
        </w:rPr>
        <w:t>国家</w:t>
      </w:r>
      <w:r>
        <w:rPr>
          <w:rFonts w:ascii="Calibri" w:hAnsi="Calibri"/>
          <w:bCs w:val="0"/>
          <w:szCs w:val="24"/>
          <w:highlight w:val="none"/>
        </w:rPr>
        <w:t>金融监督管理总局会未公布相关管理办法，则参照《</w:t>
      </w:r>
      <w:r>
        <w:rPr>
          <w:rFonts w:hint="eastAsia"/>
          <w:highlight w:val="none"/>
        </w:rPr>
        <w:t>资产管理产品相关会计处理规定</w:t>
      </w:r>
      <w:r>
        <w:rPr>
          <w:rFonts w:ascii="Calibri" w:hAnsi="Calibri"/>
          <w:bCs w:val="0"/>
          <w:szCs w:val="24"/>
          <w:highlight w:val="none"/>
        </w:rPr>
        <w:t>》及其他法律、法规的规定。</w:t>
      </w:r>
    </w:p>
    <w:p>
      <w:pPr>
        <w:pStyle w:val="4"/>
        <w:keepNext/>
        <w:keepLines/>
        <w:ind w:left="0" w:firstLine="420"/>
        <w:rPr>
          <w:highlight w:val="none"/>
        </w:rPr>
      </w:pPr>
      <w:r>
        <w:rPr>
          <w:rFonts w:hint="eastAsia"/>
          <w:highlight w:val="none"/>
        </w:rPr>
        <w:t>估值方法</w:t>
      </w:r>
    </w:p>
    <w:p>
      <w:pPr>
        <w:keepNext/>
        <w:keepLines/>
        <w:ind w:firstLine="420"/>
        <w:rPr>
          <w:sz w:val="24"/>
          <w:highlight w:val="none"/>
        </w:rPr>
      </w:pPr>
      <w:r>
        <w:rPr>
          <w:rFonts w:hint="eastAsia"/>
          <w:sz w:val="24"/>
          <w:highlight w:val="none"/>
        </w:rPr>
        <w:t>估值方法以产品说明书的相关条款为准。</w:t>
      </w:r>
    </w:p>
    <w:p>
      <w:pPr>
        <w:pStyle w:val="4"/>
        <w:keepNext/>
        <w:keepLines/>
        <w:ind w:left="0" w:firstLine="420"/>
        <w:rPr>
          <w:highlight w:val="none"/>
        </w:rPr>
      </w:pPr>
      <w:r>
        <w:rPr>
          <w:rFonts w:hint="eastAsia"/>
          <w:highlight w:val="none"/>
        </w:rPr>
        <w:t>估值程序和账册的核对</w:t>
      </w:r>
    </w:p>
    <w:p>
      <w:pPr>
        <w:pStyle w:val="5"/>
        <w:keepNext/>
        <w:keepLines/>
        <w:ind w:firstLine="420"/>
        <w:rPr>
          <w:highlight w:val="none"/>
        </w:rPr>
      </w:pPr>
      <w:r>
        <w:rPr>
          <w:rFonts w:hint="eastAsia"/>
          <w:highlight w:val="none"/>
        </w:rPr>
        <w:t>甲方应在理财产品存续期内每个估值日对理财产品进行会计核算。甲方将每个估值日的核算结果以传真或电子邮件或电子对账的方式发给乙方，乙方核对完成后，将核对结果反馈给甲方。当甲方与乙方的估值结果不一致时，各方应本着勤勉尽责的原则重新计算核对。如经相关各方在平等协商基础上，仍无法达成一致意见，则以甲方对理财产品份额净值的计算结果为准。</w:t>
      </w:r>
    </w:p>
    <w:p>
      <w:pPr>
        <w:pStyle w:val="5"/>
        <w:keepNext/>
        <w:keepLines/>
        <w:ind w:firstLine="420"/>
        <w:rPr>
          <w:highlight w:val="none"/>
        </w:rPr>
      </w:pPr>
      <w:r>
        <w:rPr>
          <w:rFonts w:hint="eastAsia"/>
          <w:highlight w:val="none"/>
        </w:rPr>
        <w:t>甲方在每季结束后十个工作日内为理财产品编制会计报表，并提交乙方核对；乙方在收到后五个工作日内对甲方的报表进行复核。</w:t>
      </w:r>
    </w:p>
    <w:p>
      <w:pPr>
        <w:pStyle w:val="6"/>
        <w:keepNext/>
        <w:keepLines/>
        <w:spacing w:line="360" w:lineRule="auto"/>
        <w:ind w:firstLine="480" w:firstLineChars="200"/>
        <w:rPr>
          <w:rFonts w:ascii="Times New Roman" w:hAnsi="Times New Roman"/>
          <w:bCs/>
          <w:sz w:val="24"/>
          <w:szCs w:val="32"/>
          <w:highlight w:val="none"/>
        </w:rPr>
      </w:pPr>
      <w:r>
        <w:rPr>
          <w:rFonts w:hint="eastAsia" w:ascii="Times New Roman" w:hAnsi="Times New Roman"/>
          <w:bCs/>
          <w:sz w:val="24"/>
          <w:szCs w:val="32"/>
          <w:highlight w:val="none"/>
        </w:rPr>
        <w:t>11.4.3 若甲方作为管理人将估值核算等职能外包给其他服务机构，则由甲方指定的估值外包服务机构与乙方进行估值核对。</w:t>
      </w:r>
    </w:p>
    <w:p>
      <w:pPr>
        <w:pStyle w:val="4"/>
        <w:keepNext/>
        <w:keepLines/>
        <w:ind w:left="0" w:firstLine="420"/>
        <w:rPr>
          <w:highlight w:val="none"/>
        </w:rPr>
      </w:pPr>
      <w:r>
        <w:rPr>
          <w:rFonts w:hint="eastAsia"/>
          <w:highlight w:val="none"/>
        </w:rPr>
        <w:t>理财产品估值错误处理</w:t>
      </w:r>
    </w:p>
    <w:p>
      <w:pPr>
        <w:pStyle w:val="5"/>
        <w:keepNext/>
        <w:keepLines/>
        <w:numPr>
          <w:ilvl w:val="2"/>
          <w:numId w:val="0"/>
        </w:numPr>
        <w:ind w:firstLine="420"/>
        <w:rPr>
          <w:szCs w:val="20"/>
          <w:highlight w:val="none"/>
        </w:rPr>
      </w:pPr>
      <w:r>
        <w:rPr>
          <w:rFonts w:hint="eastAsia" w:ascii="Calibri" w:hAnsi="Calibri"/>
          <w:bCs w:val="0"/>
          <w:szCs w:val="24"/>
          <w:highlight w:val="none"/>
        </w:rPr>
        <w:t>甲方和乙方将采取必要、适当、合理的措施确保理财产品估值的准确性、及</w:t>
      </w:r>
      <w:r>
        <w:rPr>
          <w:szCs w:val="20"/>
          <w:highlight w:val="none"/>
        </w:rPr>
        <w:t>时性。当</w:t>
      </w:r>
      <w:r>
        <w:rPr>
          <w:rFonts w:hint="eastAsia"/>
          <w:szCs w:val="20"/>
          <w:highlight w:val="none"/>
        </w:rPr>
        <w:t>理财产品单位</w:t>
      </w:r>
      <w:r>
        <w:rPr>
          <w:szCs w:val="20"/>
          <w:highlight w:val="none"/>
        </w:rPr>
        <w:t>净值小数点后</w:t>
      </w:r>
      <w:r>
        <w:rPr>
          <w:rFonts w:hint="eastAsia"/>
          <w:highlight w:val="none"/>
        </w:rPr>
        <w:t>四</w:t>
      </w:r>
      <w:r>
        <w:rPr>
          <w:szCs w:val="20"/>
          <w:highlight w:val="none"/>
        </w:rPr>
        <w:t>位以内(含第</w:t>
      </w:r>
      <w:r>
        <w:rPr>
          <w:rFonts w:hint="eastAsia"/>
          <w:highlight w:val="none"/>
        </w:rPr>
        <w:t>四</w:t>
      </w:r>
      <w:r>
        <w:rPr>
          <w:szCs w:val="20"/>
          <w:highlight w:val="none"/>
        </w:rPr>
        <w:t>位)发生估值错误时，视为</w:t>
      </w:r>
      <w:r>
        <w:rPr>
          <w:rFonts w:hint="eastAsia"/>
          <w:szCs w:val="20"/>
          <w:highlight w:val="none"/>
        </w:rPr>
        <w:t>单位</w:t>
      </w:r>
      <w:r>
        <w:rPr>
          <w:szCs w:val="20"/>
          <w:highlight w:val="none"/>
        </w:rPr>
        <w:t>净值错误。</w:t>
      </w:r>
    </w:p>
    <w:p>
      <w:pPr>
        <w:pStyle w:val="5"/>
        <w:keepNext/>
        <w:keepLines/>
        <w:ind w:firstLine="420"/>
        <w:rPr>
          <w:highlight w:val="none"/>
        </w:rPr>
      </w:pPr>
      <w:r>
        <w:rPr>
          <w:rFonts w:hint="eastAsia"/>
          <w:highlight w:val="none"/>
        </w:rPr>
        <w:t>托管协议</w:t>
      </w:r>
      <w:r>
        <w:rPr>
          <w:highlight w:val="none"/>
        </w:rPr>
        <w:t>的当事人应按照以下约定处理：</w:t>
      </w:r>
    </w:p>
    <w:p>
      <w:pPr>
        <w:pStyle w:val="7"/>
        <w:numPr>
          <w:ilvl w:val="0"/>
          <w:numId w:val="14"/>
        </w:numPr>
        <w:ind w:left="0" w:firstLine="420"/>
        <w:rPr>
          <w:highlight w:val="none"/>
        </w:rPr>
      </w:pPr>
      <w:r>
        <w:rPr>
          <w:highlight w:val="none"/>
        </w:rPr>
        <w:t>估值错误类型</w:t>
      </w:r>
    </w:p>
    <w:p>
      <w:pPr>
        <w:keepNext/>
        <w:keepLines/>
        <w:spacing w:line="360" w:lineRule="auto"/>
        <w:ind w:firstLine="420"/>
        <w:rPr>
          <w:bCs/>
          <w:sz w:val="24"/>
          <w:szCs w:val="20"/>
          <w:highlight w:val="none"/>
        </w:rPr>
      </w:pPr>
      <w:r>
        <w:rPr>
          <w:rFonts w:hint="eastAsia"/>
          <w:bCs/>
          <w:sz w:val="24"/>
          <w:szCs w:val="20"/>
          <w:highlight w:val="none"/>
        </w:rPr>
        <w:t>理财产品</w:t>
      </w:r>
      <w:r>
        <w:rPr>
          <w:bCs/>
          <w:sz w:val="24"/>
          <w:szCs w:val="20"/>
          <w:highlight w:val="none"/>
        </w:rPr>
        <w:t>运作过程中，如果由于</w:t>
      </w:r>
      <w:r>
        <w:rPr>
          <w:rFonts w:hint="eastAsia"/>
          <w:bCs/>
          <w:sz w:val="24"/>
          <w:szCs w:val="20"/>
          <w:highlight w:val="none"/>
        </w:rPr>
        <w:t>甲方</w:t>
      </w:r>
      <w:r>
        <w:rPr>
          <w:bCs/>
          <w:sz w:val="24"/>
          <w:szCs w:val="20"/>
          <w:highlight w:val="none"/>
        </w:rPr>
        <w:t>或</w:t>
      </w:r>
      <w:r>
        <w:rPr>
          <w:rFonts w:hint="eastAsia"/>
          <w:bCs/>
          <w:sz w:val="24"/>
          <w:szCs w:val="20"/>
          <w:highlight w:val="none"/>
        </w:rPr>
        <w:t>乙方</w:t>
      </w:r>
      <w:r>
        <w:rPr>
          <w:bCs/>
          <w:sz w:val="24"/>
          <w:szCs w:val="20"/>
          <w:highlight w:val="none"/>
        </w:rPr>
        <w:t>、或登记机构、或销售机构、或投资</w:t>
      </w:r>
      <w:r>
        <w:rPr>
          <w:rFonts w:hint="eastAsia"/>
          <w:bCs/>
          <w:sz w:val="24"/>
          <w:szCs w:val="20"/>
          <w:highlight w:val="none"/>
        </w:rPr>
        <w:t>者</w:t>
      </w:r>
      <w:r>
        <w:rPr>
          <w:bCs/>
          <w:sz w:val="24"/>
          <w:szCs w:val="20"/>
          <w:highlight w:val="none"/>
        </w:rPr>
        <w:t>自身的过错造成估值错误，导致其他当事人遭受损失的，过错的责任人应当对由于该估值错误遭受损失当事人(“受损方”)的直接损失按下述“估值错误处理原则”给予赔偿，承担赔偿责任。</w:t>
      </w:r>
    </w:p>
    <w:p>
      <w:pPr>
        <w:keepNext/>
        <w:keepLines/>
        <w:spacing w:line="360" w:lineRule="auto"/>
        <w:ind w:firstLine="420"/>
        <w:rPr>
          <w:bCs/>
          <w:sz w:val="24"/>
          <w:szCs w:val="20"/>
          <w:highlight w:val="none"/>
        </w:rPr>
      </w:pPr>
      <w:r>
        <w:rPr>
          <w:bCs/>
          <w:sz w:val="24"/>
          <w:szCs w:val="20"/>
          <w:highlight w:val="none"/>
        </w:rPr>
        <w:t>上述估值错误的主要类型包括但不限于：资料申报差错、数据传输差错、数据计算差错、系统故障差错、下达指令差错等。</w:t>
      </w:r>
    </w:p>
    <w:p>
      <w:pPr>
        <w:pStyle w:val="7"/>
        <w:numPr>
          <w:ilvl w:val="0"/>
          <w:numId w:val="15"/>
        </w:numPr>
        <w:tabs>
          <w:tab w:val="left" w:pos="0"/>
          <w:tab w:val="clear" w:pos="420"/>
        </w:tabs>
        <w:ind w:left="0" w:firstLine="420"/>
        <w:rPr>
          <w:highlight w:val="none"/>
        </w:rPr>
      </w:pPr>
      <w:r>
        <w:rPr>
          <w:highlight w:val="none"/>
        </w:rPr>
        <w:t>估值错误处理原则</w:t>
      </w:r>
    </w:p>
    <w:p>
      <w:pPr>
        <w:pStyle w:val="7"/>
        <w:keepNext/>
        <w:keepLines/>
        <w:numPr>
          <w:ilvl w:val="0"/>
          <w:numId w:val="0"/>
        </w:numPr>
        <w:ind w:firstLine="420"/>
        <w:rPr>
          <w:highlight w:val="none"/>
        </w:rPr>
      </w:pPr>
      <w:r>
        <w:rPr>
          <w:rFonts w:hint="eastAsia"/>
          <w:highlight w:val="none"/>
        </w:rPr>
        <w:t>a.由于产品管理人或产品托管人自身的过错造成估值错误，导致投资者遭受损失的，由估值错误责任方按照各自过错程度对该估值错误导致投资者遭受的直接损失给予赔偿，承担赔偿责任。</w:t>
      </w:r>
    </w:p>
    <w:p>
      <w:pPr>
        <w:pStyle w:val="7"/>
        <w:keepNext/>
        <w:keepLines/>
        <w:numPr>
          <w:ilvl w:val="0"/>
          <w:numId w:val="0"/>
        </w:numPr>
        <w:ind w:firstLine="420"/>
        <w:rPr>
          <w:highlight w:val="none"/>
        </w:rPr>
      </w:pPr>
      <w:r>
        <w:rPr>
          <w:rFonts w:hint="eastAsia"/>
          <w:highlight w:val="none"/>
        </w:rPr>
        <w:t>b.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pStyle w:val="7"/>
        <w:keepNext/>
        <w:keepLines/>
        <w:numPr>
          <w:ilvl w:val="0"/>
          <w:numId w:val="0"/>
        </w:numPr>
        <w:ind w:firstLine="420"/>
        <w:rPr>
          <w:highlight w:val="none"/>
        </w:rPr>
      </w:pPr>
      <w:r>
        <w:rPr>
          <w:rFonts w:hint="eastAsia"/>
          <w:highlight w:val="none"/>
        </w:rPr>
        <w:t>c.若产品管理人和产品托管人之外的第三方估值差错造成财产的损失，并拒绝进行赔偿时，理财产品由产品管理人负责向差错方追偿；追偿过程中产生的有关费用，应列入产品费用，从资产中支付。</w:t>
      </w:r>
    </w:p>
    <w:p>
      <w:pPr>
        <w:pStyle w:val="7"/>
        <w:keepNext/>
        <w:keepLines/>
        <w:numPr>
          <w:ilvl w:val="0"/>
          <w:numId w:val="0"/>
        </w:numPr>
        <w:ind w:firstLine="420"/>
        <w:rPr>
          <w:highlight w:val="none"/>
        </w:rPr>
      </w:pPr>
      <w:r>
        <w:rPr>
          <w:rFonts w:hint="eastAsia"/>
          <w:highlight w:val="none"/>
        </w:rPr>
        <w:t>d.当估值出现错误时，因估值错误而获得不当得利的投资者负有及时返还不当得利的义务。</w:t>
      </w:r>
    </w:p>
    <w:p>
      <w:pPr>
        <w:pStyle w:val="7"/>
        <w:keepNext/>
        <w:keepLines/>
        <w:numPr>
          <w:ilvl w:val="0"/>
          <w:numId w:val="0"/>
        </w:numPr>
        <w:ind w:firstLine="420"/>
        <w:rPr>
          <w:highlight w:val="none"/>
        </w:rPr>
      </w:pPr>
      <w:r>
        <w:rPr>
          <w:rFonts w:hint="eastAsia"/>
          <w:highlight w:val="none"/>
        </w:rPr>
        <w:t>e.按法律法规规定的其他原则处理估值错误。</w:t>
      </w:r>
    </w:p>
    <w:p>
      <w:pPr>
        <w:pStyle w:val="7"/>
        <w:numPr>
          <w:ilvl w:val="0"/>
          <w:numId w:val="15"/>
        </w:numPr>
        <w:tabs>
          <w:tab w:val="left" w:pos="0"/>
        </w:tabs>
        <w:ind w:left="0" w:firstLine="420"/>
        <w:rPr>
          <w:highlight w:val="none"/>
        </w:rPr>
      </w:pPr>
      <w:r>
        <w:rPr>
          <w:highlight w:val="none"/>
        </w:rPr>
        <w:t>估值错误处理程序</w:t>
      </w:r>
    </w:p>
    <w:p>
      <w:pPr>
        <w:pStyle w:val="7"/>
        <w:keepNext/>
        <w:keepLines/>
        <w:numPr>
          <w:ilvl w:val="0"/>
          <w:numId w:val="0"/>
        </w:numPr>
        <w:ind w:firstLine="420"/>
        <w:rPr>
          <w:highlight w:val="none"/>
        </w:rPr>
      </w:pPr>
      <w:r>
        <w:rPr>
          <w:rFonts w:hint="eastAsia"/>
          <w:highlight w:val="none"/>
        </w:rPr>
        <w:t>估值错误被发现后，产品管理人和产品托管人应当及时进行处理，处理的程序如下：</w:t>
      </w:r>
    </w:p>
    <w:p>
      <w:pPr>
        <w:pStyle w:val="7"/>
        <w:keepNext/>
        <w:keepLines/>
        <w:numPr>
          <w:ilvl w:val="0"/>
          <w:numId w:val="0"/>
        </w:numPr>
        <w:ind w:firstLine="420"/>
        <w:rPr>
          <w:highlight w:val="none"/>
        </w:rPr>
      </w:pPr>
      <w:r>
        <w:rPr>
          <w:rFonts w:hint="eastAsia"/>
          <w:highlight w:val="none"/>
        </w:rPr>
        <w:t>a.查明估值错误发生的原因，列明所有的产品管理人和产品托管人并根据估值错误发生的原因确定估值错误的责任方；</w:t>
      </w:r>
    </w:p>
    <w:p>
      <w:pPr>
        <w:pStyle w:val="7"/>
        <w:keepNext/>
        <w:keepLines/>
        <w:numPr>
          <w:ilvl w:val="0"/>
          <w:numId w:val="0"/>
        </w:numPr>
        <w:ind w:firstLine="420"/>
        <w:rPr>
          <w:highlight w:val="none"/>
        </w:rPr>
      </w:pPr>
      <w:r>
        <w:rPr>
          <w:rFonts w:hint="eastAsia"/>
          <w:highlight w:val="none"/>
        </w:rPr>
        <w:t>b.据估值错误处理原则对因估值错误造成的损失进行评估；</w:t>
      </w:r>
    </w:p>
    <w:p>
      <w:pPr>
        <w:pStyle w:val="7"/>
        <w:numPr>
          <w:ilvl w:val="0"/>
          <w:numId w:val="0"/>
        </w:numPr>
        <w:ind w:firstLine="420"/>
        <w:rPr>
          <w:highlight w:val="none"/>
        </w:rPr>
      </w:pPr>
      <w:r>
        <w:rPr>
          <w:rFonts w:hint="eastAsia"/>
          <w:highlight w:val="none"/>
        </w:rPr>
        <w:t>c.根据产品管理人和产品托管人协商的方法，由产品管理人和产品托管人共同进行更正，由估值错误的责任方进行赔偿损失。</w:t>
      </w:r>
    </w:p>
    <w:p>
      <w:pPr>
        <w:pStyle w:val="4"/>
        <w:keepNext/>
        <w:keepLines/>
        <w:ind w:left="0" w:firstLine="420"/>
        <w:rPr>
          <w:highlight w:val="none"/>
        </w:rPr>
      </w:pPr>
      <w:r>
        <w:rPr>
          <w:rFonts w:hint="eastAsia"/>
          <w:highlight w:val="none"/>
        </w:rPr>
        <w:t>暂停估值的情形</w:t>
      </w:r>
    </w:p>
    <w:p>
      <w:pPr>
        <w:pStyle w:val="5"/>
        <w:keepNext/>
        <w:keepLines/>
        <w:numPr>
          <w:ilvl w:val="255"/>
          <w:numId w:val="0"/>
        </w:numPr>
        <w:ind w:left="8" w:firstLine="360"/>
        <w:rPr>
          <w:highlight w:val="none"/>
        </w:rPr>
      </w:pPr>
      <w:r>
        <w:rPr>
          <w:rFonts w:hint="eastAsia"/>
          <w:highlight w:val="none"/>
        </w:rPr>
        <w:t>在发生下列情形之一的，理财产品应暂停估值，产品管理人应采取延缓支付赎回款项或暂停接受理财产品认购、赎回申请等措施：</w:t>
      </w:r>
    </w:p>
    <w:p>
      <w:pPr>
        <w:pStyle w:val="7"/>
        <w:numPr>
          <w:ilvl w:val="0"/>
          <w:numId w:val="16"/>
        </w:numPr>
        <w:ind w:left="0" w:firstLine="420"/>
        <w:rPr>
          <w:highlight w:val="none"/>
        </w:rPr>
      </w:pPr>
      <w:r>
        <w:rPr>
          <w:rFonts w:hint="eastAsia"/>
          <w:highlight w:val="none"/>
        </w:rPr>
        <w:t>理财产品投资所涉及的交易所遇法定节假日或其它原因暂停营业时；</w:t>
      </w:r>
    </w:p>
    <w:p>
      <w:pPr>
        <w:pStyle w:val="7"/>
        <w:numPr>
          <w:ilvl w:val="0"/>
          <w:numId w:val="16"/>
        </w:numPr>
        <w:ind w:left="0" w:firstLine="420"/>
        <w:rPr>
          <w:highlight w:val="none"/>
        </w:rPr>
      </w:pPr>
      <w:r>
        <w:rPr>
          <w:rFonts w:hint="eastAsia"/>
          <w:highlight w:val="none"/>
        </w:rPr>
        <w:t>当前一估值日理财产品资产净值50%以上的资产出现无可参考的活跃市场价格且采用估值技术仍导致公允价值存在重大不确定性时，经与产品托管人协商一致的；</w:t>
      </w:r>
    </w:p>
    <w:p>
      <w:pPr>
        <w:pStyle w:val="7"/>
        <w:numPr>
          <w:ilvl w:val="0"/>
          <w:numId w:val="16"/>
        </w:numPr>
        <w:ind w:left="0" w:firstLine="420"/>
        <w:rPr>
          <w:highlight w:val="none"/>
        </w:rPr>
      </w:pPr>
      <w:r>
        <w:rPr>
          <w:rFonts w:hint="eastAsia"/>
          <w:highlight w:val="none"/>
        </w:rPr>
        <w:t>占理财产品资产相当比例的投资品种的估值出现重大转变，而理财产品管理人为保障投资人的利益，已决定延迟估值；</w:t>
      </w:r>
    </w:p>
    <w:p>
      <w:pPr>
        <w:pStyle w:val="7"/>
        <w:numPr>
          <w:ilvl w:val="0"/>
          <w:numId w:val="16"/>
        </w:numPr>
        <w:ind w:left="0" w:firstLine="420"/>
        <w:rPr>
          <w:highlight w:val="none"/>
        </w:rPr>
      </w:pPr>
      <w:r>
        <w:rPr>
          <w:rFonts w:hint="eastAsia"/>
          <w:highlight w:val="none"/>
        </w:rPr>
        <w:t>因其它任何不可抗力致使甲乙双方无法准确评估理财产品资产价值时；</w:t>
      </w:r>
    </w:p>
    <w:p>
      <w:pPr>
        <w:pStyle w:val="7"/>
        <w:numPr>
          <w:ilvl w:val="0"/>
          <w:numId w:val="16"/>
        </w:numPr>
        <w:ind w:left="0" w:firstLine="420"/>
        <w:rPr>
          <w:highlight w:val="none"/>
        </w:rPr>
      </w:pPr>
      <w:r>
        <w:rPr>
          <w:rFonts w:hint="eastAsia"/>
          <w:highlight w:val="none"/>
        </w:rPr>
        <w:t>法律法规、国家金融监督管理总局和理财产品说明书认定的其它情形；</w:t>
      </w:r>
    </w:p>
    <w:p>
      <w:pPr>
        <w:pStyle w:val="7"/>
        <w:numPr>
          <w:ilvl w:val="0"/>
          <w:numId w:val="16"/>
        </w:numPr>
        <w:ind w:left="0" w:firstLine="420"/>
        <w:rPr>
          <w:highlight w:val="none"/>
        </w:rPr>
      </w:pPr>
      <w:r>
        <w:rPr>
          <w:rFonts w:hint="eastAsia"/>
          <w:highlight w:val="none"/>
        </w:rPr>
        <w:t>估值条件恢复时，甲乙双方必须按规定完成估值工作。</w:t>
      </w:r>
    </w:p>
    <w:p>
      <w:pPr>
        <w:pStyle w:val="4"/>
        <w:keepNext/>
        <w:keepLines/>
        <w:ind w:left="0" w:firstLine="420"/>
        <w:rPr>
          <w:highlight w:val="none"/>
        </w:rPr>
      </w:pPr>
      <w:r>
        <w:rPr>
          <w:rFonts w:hint="eastAsia"/>
          <w:highlight w:val="none"/>
        </w:rPr>
        <w:t>特殊情况的处理方法</w:t>
      </w:r>
    </w:p>
    <w:p>
      <w:pPr>
        <w:pStyle w:val="5"/>
        <w:keepNext/>
        <w:keepLines/>
        <w:ind w:firstLine="420"/>
        <w:rPr>
          <w:highlight w:val="none"/>
        </w:rPr>
      </w:pPr>
      <w:r>
        <w:rPr>
          <w:rFonts w:hint="eastAsia"/>
          <w:highlight w:val="none"/>
        </w:rPr>
        <w:t>由于不可抗力原因，或由于证券交易所、期货交易所、第三方估值机构、信托公司、基金公司等发送数据错误等非甲乙双方原因，甲乙双方虽然已经采取必要、适当、合理的措施进行检查，但未能发现错误的，由此造成的估值错误，甲乙双方免除赔偿责任。但甲乙双方应当积极采取必要的措施减轻或消除由此造成的影响。</w:t>
      </w:r>
    </w:p>
    <w:p>
      <w:pPr>
        <w:pStyle w:val="5"/>
        <w:keepNext/>
        <w:keepLines/>
        <w:ind w:firstLine="420"/>
        <w:rPr>
          <w:highlight w:val="none"/>
        </w:rPr>
      </w:pPr>
      <w:r>
        <w:rPr>
          <w:rFonts w:hint="eastAsia"/>
          <w:highlight w:val="none"/>
        </w:rPr>
        <w:t>前述内容如法律法规、监管机关另有规定的，或有关会计准则发生变化等，按照国家最新规定或产品管理人最新约定估值。如果行业另有通行做法，甲乙双方本着平等和保护份额持有人利益的原则进行协商。</w:t>
      </w:r>
    </w:p>
    <w:p>
      <w:pPr>
        <w:pStyle w:val="4"/>
        <w:keepNext/>
        <w:keepLines/>
        <w:ind w:left="0" w:firstLine="420"/>
        <w:rPr>
          <w:highlight w:val="none"/>
        </w:rPr>
      </w:pPr>
      <w:r>
        <w:rPr>
          <w:rFonts w:hint="eastAsia"/>
          <w:highlight w:val="none"/>
        </w:rPr>
        <w:t>甲、乙双方估值差异的处理</w:t>
      </w:r>
    </w:p>
    <w:p>
      <w:pPr>
        <w:pStyle w:val="5"/>
        <w:keepNext/>
        <w:keepLines/>
        <w:numPr>
          <w:ilvl w:val="2"/>
          <w:numId w:val="0"/>
        </w:numPr>
        <w:ind w:firstLine="420"/>
        <w:rPr>
          <w:rFonts w:ascii="Calibri" w:hAnsi="Calibri"/>
          <w:bCs w:val="0"/>
          <w:szCs w:val="24"/>
          <w:highlight w:val="none"/>
        </w:rPr>
      </w:pPr>
      <w:r>
        <w:rPr>
          <w:rFonts w:hint="eastAsia" w:ascii="Calibri" w:hAnsi="Calibri"/>
          <w:bCs w:val="0"/>
          <w:szCs w:val="24"/>
          <w:highlight w:val="none"/>
        </w:rPr>
        <w:t>乙方核对甲方提供的估值结果过程中，如发现资产余额成本数据与业务台账不符，应及时向甲方反馈，双方应共同查找原因，直到数据一致。</w:t>
      </w:r>
    </w:p>
    <w:p>
      <w:pPr>
        <w:pStyle w:val="4"/>
        <w:keepNext/>
        <w:keepLines/>
        <w:ind w:left="0" w:firstLine="420"/>
        <w:rPr>
          <w:highlight w:val="none"/>
        </w:rPr>
      </w:pPr>
      <w:r>
        <w:rPr>
          <w:rFonts w:hint="eastAsia"/>
          <w:highlight w:val="none"/>
        </w:rPr>
        <w:t>账册的保管</w:t>
      </w:r>
    </w:p>
    <w:p>
      <w:pPr>
        <w:pStyle w:val="5"/>
        <w:keepNext/>
        <w:keepLines/>
        <w:numPr>
          <w:ilvl w:val="2"/>
          <w:numId w:val="0"/>
        </w:numPr>
        <w:ind w:firstLine="420"/>
        <w:rPr>
          <w:rFonts w:ascii="Calibri" w:hAnsi="Calibri"/>
          <w:bCs w:val="0"/>
          <w:szCs w:val="24"/>
          <w:highlight w:val="none"/>
        </w:rPr>
      </w:pPr>
      <w:r>
        <w:rPr>
          <w:rFonts w:hint="eastAsia" w:ascii="Calibri" w:hAnsi="Calibri"/>
          <w:bCs w:val="0"/>
          <w:szCs w:val="24"/>
          <w:highlight w:val="none"/>
        </w:rPr>
        <w:t>甲、乙双方指定专门人员负责理财财产的相关资料保管。</w:t>
      </w:r>
    </w:p>
    <w:p>
      <w:pPr>
        <w:pStyle w:val="4"/>
        <w:keepNext/>
        <w:keepLines/>
        <w:ind w:left="0" w:firstLine="420"/>
        <w:rPr>
          <w:highlight w:val="none"/>
        </w:rPr>
      </w:pPr>
      <w:r>
        <w:rPr>
          <w:highlight w:val="none"/>
        </w:rPr>
        <w:t>会计政策</w:t>
      </w:r>
    </w:p>
    <w:p>
      <w:pPr>
        <w:pStyle w:val="5"/>
        <w:keepNext/>
        <w:keepLines/>
        <w:ind w:firstLine="420"/>
        <w:rPr>
          <w:highlight w:val="none"/>
        </w:rPr>
      </w:pPr>
      <w:r>
        <w:rPr>
          <w:rFonts w:hint="eastAsia"/>
          <w:highlight w:val="none"/>
        </w:rPr>
        <w:t>理财产品</w:t>
      </w:r>
      <w:r>
        <w:rPr>
          <w:highlight w:val="none"/>
        </w:rPr>
        <w:t>的会计年度为每年</w:t>
      </w:r>
      <w:r>
        <w:rPr>
          <w:rFonts w:hint="eastAsia"/>
          <w:highlight w:val="none"/>
        </w:rPr>
        <w:t>1</w:t>
      </w:r>
      <w:r>
        <w:rPr>
          <w:highlight w:val="none"/>
        </w:rPr>
        <w:t>月</w:t>
      </w:r>
      <w:r>
        <w:rPr>
          <w:rFonts w:hint="eastAsia"/>
          <w:highlight w:val="none"/>
        </w:rPr>
        <w:t>1</w:t>
      </w:r>
      <w:r>
        <w:rPr>
          <w:highlight w:val="none"/>
        </w:rPr>
        <w:t>日至</w:t>
      </w:r>
      <w:r>
        <w:rPr>
          <w:rFonts w:hint="eastAsia"/>
          <w:highlight w:val="none"/>
        </w:rPr>
        <w:t>12</w:t>
      </w:r>
      <w:r>
        <w:rPr>
          <w:highlight w:val="none"/>
        </w:rPr>
        <w:t>月</w:t>
      </w:r>
      <w:r>
        <w:rPr>
          <w:rFonts w:hint="eastAsia"/>
          <w:highlight w:val="none"/>
        </w:rPr>
        <w:t>31</w:t>
      </w:r>
      <w:r>
        <w:rPr>
          <w:highlight w:val="none"/>
        </w:rPr>
        <w:t>日。</w:t>
      </w:r>
    </w:p>
    <w:p>
      <w:pPr>
        <w:pStyle w:val="5"/>
        <w:keepNext/>
        <w:keepLines/>
        <w:ind w:firstLine="420"/>
        <w:rPr>
          <w:highlight w:val="none"/>
        </w:rPr>
      </w:pPr>
      <w:r>
        <w:rPr>
          <w:highlight w:val="none"/>
        </w:rPr>
        <w:t>记账本位币为人民币，记账单位为元。</w:t>
      </w:r>
    </w:p>
    <w:p>
      <w:pPr>
        <w:pStyle w:val="5"/>
        <w:keepNext/>
        <w:keepLines/>
        <w:ind w:firstLine="420"/>
        <w:rPr>
          <w:highlight w:val="none"/>
        </w:rPr>
      </w:pPr>
      <w:r>
        <w:rPr>
          <w:rFonts w:hint="eastAsia"/>
          <w:highlight w:val="none"/>
        </w:rPr>
        <w:t>理财产品</w:t>
      </w:r>
      <w:r>
        <w:rPr>
          <w:highlight w:val="none"/>
        </w:rPr>
        <w:t>的会计核算按《</w:t>
      </w:r>
      <w:r>
        <w:rPr>
          <w:rFonts w:hint="eastAsia"/>
          <w:highlight w:val="none"/>
        </w:rPr>
        <w:t>资产管理产品相关会计处理规定</w:t>
      </w:r>
      <w:r>
        <w:rPr>
          <w:highlight w:val="none"/>
        </w:rPr>
        <w:t>》执行。</w:t>
      </w:r>
    </w:p>
    <w:p>
      <w:pPr>
        <w:pStyle w:val="3"/>
        <w:rPr>
          <w:szCs w:val="28"/>
          <w:highlight w:val="none"/>
        </w:rPr>
      </w:pPr>
      <w:bookmarkStart w:id="102" w:name="_Toc11719"/>
      <w:bookmarkStart w:id="103" w:name="_Toc15335"/>
      <w:bookmarkStart w:id="104" w:name="_Toc127449904"/>
      <w:bookmarkStart w:id="105" w:name="_Toc27813"/>
      <w:bookmarkStart w:id="106" w:name="_Toc24080"/>
      <w:bookmarkStart w:id="107" w:name="_Toc6337"/>
      <w:bookmarkStart w:id="108" w:name="_Toc10795"/>
      <w:bookmarkStart w:id="109" w:name="_Toc23303"/>
      <w:r>
        <w:rPr>
          <w:rFonts w:hint="eastAsia"/>
          <w:szCs w:val="28"/>
          <w:highlight w:val="none"/>
        </w:rPr>
        <w:t>费用计提方法、计提标准和支付方式</w:t>
      </w:r>
      <w:bookmarkEnd w:id="102"/>
      <w:bookmarkEnd w:id="103"/>
      <w:bookmarkEnd w:id="104"/>
      <w:bookmarkEnd w:id="105"/>
      <w:bookmarkEnd w:id="106"/>
      <w:bookmarkEnd w:id="107"/>
      <w:bookmarkEnd w:id="108"/>
      <w:bookmarkEnd w:id="109"/>
    </w:p>
    <w:p>
      <w:pPr>
        <w:keepNext/>
        <w:keepLines/>
        <w:spacing w:line="360" w:lineRule="auto"/>
        <w:ind w:firstLine="420"/>
        <w:rPr>
          <w:sz w:val="24"/>
          <w:highlight w:val="none"/>
        </w:rPr>
      </w:pPr>
      <w:r>
        <w:rPr>
          <w:rFonts w:hint="eastAsia"/>
          <w:sz w:val="24"/>
          <w:highlight w:val="none"/>
        </w:rPr>
        <w:t>理财产品费用是指产品管理人为成立理财产品及处理理财产品事务目的而支出的所有费用，包括但不限于：托管人收取的产品托管费、产品管理人收取的固定管理费、浮动管理费（如有）、代理销售机构收取的销售服务费、强制赎回费（如有）以及交易费用（包括但不限于交易佣金、撮合费用等）、理财产品验资费、审计费、律师费、信息披露费、清算费、执行费用、估值服务费等相关费用。理财产品费用有优惠期的，存在根据市场情况对费率优惠政策进行调整的可能，如管理人作出调整，将提前3个工作日公告。</w:t>
      </w:r>
    </w:p>
    <w:p>
      <w:pPr>
        <w:keepNext/>
        <w:keepLines/>
        <w:spacing w:line="360" w:lineRule="auto"/>
        <w:ind w:firstLine="420"/>
        <w:rPr>
          <w:sz w:val="24"/>
          <w:highlight w:val="none"/>
        </w:rPr>
      </w:pPr>
      <w:r>
        <w:rPr>
          <w:rFonts w:hint="eastAsia"/>
          <w:sz w:val="24"/>
          <w:highlight w:val="none"/>
        </w:rPr>
        <w:t>理财产品费用按理财产品说明书及产品管理人与费用收取方之间的协议约定从理财产品资产中支付。产品管理人或理财产品参与方以固有资产先行垫付的，有权从理财产品资产中优先受偿。</w:t>
      </w:r>
    </w:p>
    <w:p>
      <w:pPr>
        <w:pStyle w:val="211"/>
        <w:keepNext/>
        <w:keepLines/>
        <w:numPr>
          <w:ilvl w:val="0"/>
          <w:numId w:val="2"/>
        </w:numPr>
        <w:spacing w:line="360" w:lineRule="auto"/>
        <w:outlineLvl w:val="1"/>
        <w:rPr>
          <w:bCs/>
          <w:vanish/>
          <w:sz w:val="24"/>
          <w:szCs w:val="32"/>
          <w:highlight w:val="none"/>
        </w:rPr>
      </w:pPr>
    </w:p>
    <w:p>
      <w:pPr>
        <w:pStyle w:val="4"/>
        <w:keepNext/>
        <w:keepLines/>
        <w:ind w:left="0" w:firstLine="420"/>
        <w:rPr>
          <w:highlight w:val="none"/>
        </w:rPr>
      </w:pPr>
      <w:r>
        <w:rPr>
          <w:rFonts w:hint="eastAsia"/>
          <w:highlight w:val="none"/>
        </w:rPr>
        <w:t>托管费</w:t>
      </w:r>
    </w:p>
    <w:p>
      <w:pPr>
        <w:keepNext/>
        <w:keepLines/>
        <w:spacing w:line="360" w:lineRule="auto"/>
        <w:ind w:firstLine="480" w:firstLineChars="200"/>
        <w:rPr>
          <w:highlight w:val="none"/>
        </w:rPr>
      </w:pPr>
      <w:r>
        <w:rPr>
          <w:rFonts w:hint="eastAsia"/>
          <w:sz w:val="24"/>
          <w:highlight w:val="none"/>
        </w:rPr>
        <w:t>托管人自产品成立日起，对本产品收取一定的托管费。具体费用计提方法、计提标准和支付方式等以产品说明书为准。</w:t>
      </w:r>
    </w:p>
    <w:p>
      <w:pPr>
        <w:pStyle w:val="4"/>
        <w:keepNext/>
        <w:keepLines/>
        <w:ind w:left="0" w:firstLine="420"/>
        <w:rPr>
          <w:highlight w:val="none"/>
        </w:rPr>
      </w:pPr>
      <w:r>
        <w:rPr>
          <w:rFonts w:hint="eastAsia"/>
          <w:highlight w:val="none"/>
        </w:rPr>
        <w:t>固定管理费</w:t>
      </w:r>
    </w:p>
    <w:p>
      <w:pPr>
        <w:keepNext/>
        <w:keepLines/>
        <w:spacing w:line="360" w:lineRule="auto"/>
        <w:ind w:firstLine="420"/>
        <w:rPr>
          <w:sz w:val="24"/>
          <w:highlight w:val="none"/>
        </w:rPr>
      </w:pPr>
      <w:r>
        <w:rPr>
          <w:rFonts w:hint="eastAsia"/>
          <w:sz w:val="24"/>
          <w:highlight w:val="none"/>
        </w:rPr>
        <w:t>产品管理人自产品成立日起，对本产品收取一定的固定管理费。固定管理费精确到小数点后2位，小数点2位以后四舍五入。</w:t>
      </w:r>
    </w:p>
    <w:p>
      <w:pPr>
        <w:pStyle w:val="2"/>
        <w:keepNext/>
        <w:keepLines/>
        <w:spacing w:line="360" w:lineRule="auto"/>
        <w:ind w:firstLine="480" w:firstLineChars="200"/>
        <w:rPr>
          <w:highlight w:val="none"/>
        </w:rPr>
      </w:pPr>
      <w:r>
        <w:rPr>
          <w:rFonts w:hint="eastAsia"/>
          <w:sz w:val="24"/>
          <w:highlight w:val="none"/>
        </w:rPr>
        <w:t>具体费用计提方法、计提标准和支付方式等以产品说明书为准。</w:t>
      </w:r>
    </w:p>
    <w:p>
      <w:pPr>
        <w:keepNext/>
        <w:keepLines/>
        <w:numPr>
          <w:ilvl w:val="1"/>
          <w:numId w:val="17"/>
        </w:numPr>
        <w:spacing w:line="360" w:lineRule="auto"/>
        <w:ind w:left="0" w:firstLine="420"/>
        <w:outlineLvl w:val="1"/>
        <w:rPr>
          <w:bCs/>
          <w:sz w:val="24"/>
          <w:szCs w:val="32"/>
          <w:highlight w:val="none"/>
        </w:rPr>
      </w:pPr>
      <w:r>
        <w:rPr>
          <w:rFonts w:hint="eastAsia"/>
          <w:bCs/>
          <w:sz w:val="24"/>
          <w:szCs w:val="32"/>
          <w:highlight w:val="none"/>
        </w:rPr>
        <w:t>销售服务费</w:t>
      </w:r>
    </w:p>
    <w:p>
      <w:pPr>
        <w:keepNext/>
        <w:keepLines/>
        <w:spacing w:line="360" w:lineRule="auto"/>
        <w:ind w:firstLine="420"/>
        <w:rPr>
          <w:sz w:val="24"/>
          <w:szCs w:val="18"/>
          <w:highlight w:val="none"/>
        </w:rPr>
      </w:pPr>
      <w:r>
        <w:rPr>
          <w:rFonts w:hint="eastAsia"/>
          <w:sz w:val="24"/>
          <w:highlight w:val="none"/>
        </w:rPr>
        <w:t>代理销售机构自产品成立日起，对本产品收取一定的销售服务费。销售服务费精确到小数点后2位，小数点2位以后四舍五入。</w:t>
      </w:r>
    </w:p>
    <w:p>
      <w:pPr>
        <w:keepNext/>
        <w:keepLines/>
        <w:spacing w:line="360" w:lineRule="auto"/>
        <w:ind w:firstLine="480"/>
        <w:rPr>
          <w:sz w:val="18"/>
          <w:szCs w:val="18"/>
          <w:highlight w:val="none"/>
        </w:rPr>
      </w:pPr>
      <w:r>
        <w:rPr>
          <w:rFonts w:hint="eastAsia"/>
          <w:sz w:val="24"/>
          <w:szCs w:val="18"/>
          <w:highlight w:val="none"/>
        </w:rPr>
        <w:t>具体费用计提方法、计提标准和支付方式等以产品说明书为准。</w:t>
      </w:r>
    </w:p>
    <w:p>
      <w:pPr>
        <w:keepNext/>
        <w:keepLines/>
        <w:snapToGrid w:val="0"/>
        <w:spacing w:line="360" w:lineRule="auto"/>
        <w:ind w:firstLine="480"/>
        <w:rPr>
          <w:bCs/>
          <w:sz w:val="24"/>
          <w:szCs w:val="32"/>
          <w:highlight w:val="none"/>
        </w:rPr>
      </w:pPr>
      <w:r>
        <w:rPr>
          <w:rFonts w:hint="eastAsia"/>
          <w:b/>
          <w:sz w:val="24"/>
          <w:szCs w:val="32"/>
          <w:highlight w:val="none"/>
        </w:rPr>
        <w:t>12.4</w:t>
      </w:r>
      <w:r>
        <w:rPr>
          <w:rFonts w:hint="eastAsia"/>
          <w:bCs/>
          <w:sz w:val="24"/>
          <w:szCs w:val="32"/>
          <w:highlight w:val="none"/>
        </w:rPr>
        <w:t xml:space="preserve"> 强制赎回费（如有，仅针对现金管理类产品）</w:t>
      </w:r>
    </w:p>
    <w:p>
      <w:pPr>
        <w:keepNext/>
        <w:keepLines/>
        <w:snapToGrid w:val="0"/>
        <w:spacing w:line="360" w:lineRule="auto"/>
        <w:ind w:firstLine="480"/>
        <w:rPr>
          <w:sz w:val="24"/>
          <w:highlight w:val="none"/>
        </w:rPr>
      </w:pPr>
      <w:r>
        <w:rPr>
          <w:rFonts w:hint="eastAsia"/>
          <w:sz w:val="24"/>
          <w:highlight w:val="none"/>
        </w:rPr>
        <w:t>1.当本产品在满足相关流动性风险管理要求的前提下，当持有的现金、国债、中央银行票据、政策性金融债以及5个交易日内到期的其他金融工具占产品资产净值的比例合计低于5%，且偏离度为负时，产品管理人有权对单个投资者申请赎回份额超过上一工作日理财产品份额1%以上的赎回申请按1%收取强制赎回费；</w:t>
      </w:r>
    </w:p>
    <w:p>
      <w:pPr>
        <w:keepNext/>
        <w:keepLines/>
        <w:snapToGrid w:val="0"/>
        <w:spacing w:line="360" w:lineRule="auto"/>
        <w:ind w:firstLine="480"/>
        <w:rPr>
          <w:sz w:val="24"/>
          <w:highlight w:val="none"/>
        </w:rPr>
      </w:pPr>
      <w:r>
        <w:rPr>
          <w:rFonts w:hint="eastAsia"/>
          <w:sz w:val="24"/>
          <w:highlight w:val="none"/>
        </w:rPr>
        <w:t>2.本产品前10名投资者的持有份额合计超过该产品总份额50%的，当投资组合中现金、国债、中央银行票据、政策性金融债券以及5个交易日内到期的其他金融工具占该产品资产净值的比例合计低于10%且偏离度为负时，产品管理人有权对投资者超过该产品总份额1%以上的赎回申请征收1%的强制赎回费用。</w:t>
      </w:r>
    </w:p>
    <w:p>
      <w:pPr>
        <w:keepNext/>
        <w:keepLines/>
        <w:snapToGrid w:val="0"/>
        <w:spacing w:line="360" w:lineRule="auto"/>
        <w:ind w:firstLine="480"/>
        <w:rPr>
          <w:rFonts w:hint="eastAsia"/>
          <w:sz w:val="24"/>
          <w:highlight w:val="none"/>
        </w:rPr>
      </w:pPr>
      <w:r>
        <w:rPr>
          <w:rFonts w:hint="eastAsia"/>
          <w:sz w:val="24"/>
          <w:highlight w:val="none"/>
        </w:rPr>
        <w:t>上述强制赎回费全额计入本理财产品财产，管理人与托管人协商确定上述做法无益于产品利益最大化的情形除外。</w:t>
      </w:r>
    </w:p>
    <w:p>
      <w:pPr>
        <w:keepNext/>
        <w:keepLines/>
        <w:numPr>
          <w:ilvl w:val="-1"/>
          <w:numId w:val="0"/>
        </w:numPr>
        <w:snapToGrid w:val="0"/>
        <w:spacing w:line="360" w:lineRule="auto"/>
        <w:ind w:firstLine="480"/>
        <w:outlineLvl w:val="9"/>
        <w:rPr>
          <w:bCs/>
          <w:sz w:val="24"/>
          <w:szCs w:val="32"/>
          <w:highlight w:val="none"/>
        </w:rPr>
      </w:pPr>
      <w:r>
        <w:rPr>
          <w:rFonts w:hint="eastAsia"/>
          <w:sz w:val="24"/>
          <w:szCs w:val="18"/>
          <w:highlight w:val="none"/>
        </w:rPr>
        <w:t>具体费用计提方法、计提标准和支付方式等以产品说明书为准</w:t>
      </w:r>
      <w:r>
        <w:rPr>
          <w:rFonts w:hint="eastAsia"/>
          <w:sz w:val="24"/>
          <w:highlight w:val="none"/>
        </w:rPr>
        <w:t>。</w:t>
      </w:r>
    </w:p>
    <w:p>
      <w:pPr>
        <w:keepNext/>
        <w:keepLines/>
        <w:numPr>
          <w:ilvl w:val="255"/>
          <w:numId w:val="0"/>
        </w:numPr>
        <w:tabs>
          <w:tab w:val="left" w:pos="1584"/>
        </w:tabs>
        <w:spacing w:line="360" w:lineRule="auto"/>
        <w:ind w:left="420"/>
        <w:outlineLvl w:val="1"/>
        <w:rPr>
          <w:bCs/>
          <w:sz w:val="24"/>
          <w:szCs w:val="32"/>
          <w:highlight w:val="none"/>
        </w:rPr>
      </w:pPr>
      <w:r>
        <w:rPr>
          <w:rFonts w:hint="eastAsia"/>
          <w:b/>
          <w:sz w:val="24"/>
          <w:szCs w:val="32"/>
          <w:highlight w:val="none"/>
        </w:rPr>
        <w:t xml:space="preserve">12.5 </w:t>
      </w:r>
      <w:r>
        <w:rPr>
          <w:rFonts w:hint="eastAsia"/>
          <w:bCs/>
          <w:sz w:val="24"/>
          <w:szCs w:val="32"/>
          <w:highlight w:val="none"/>
        </w:rPr>
        <w:t>浮动管理费</w:t>
      </w:r>
    </w:p>
    <w:p>
      <w:pPr>
        <w:keepNext/>
        <w:keepLines/>
        <w:spacing w:line="360" w:lineRule="auto"/>
        <w:ind w:firstLine="420"/>
        <w:rPr>
          <w:sz w:val="24"/>
          <w:highlight w:val="none"/>
        </w:rPr>
      </w:pPr>
      <w:r>
        <w:rPr>
          <w:rFonts w:hint="eastAsia"/>
          <w:sz w:val="24"/>
          <w:highlight w:val="none"/>
        </w:rPr>
        <w:t>以产品说明书为准。</w:t>
      </w:r>
    </w:p>
    <w:p>
      <w:pPr>
        <w:keepNext/>
        <w:keepLines/>
        <w:numPr>
          <w:ilvl w:val="255"/>
          <w:numId w:val="0"/>
        </w:numPr>
        <w:tabs>
          <w:tab w:val="left" w:pos="1584"/>
        </w:tabs>
        <w:spacing w:line="360" w:lineRule="auto"/>
        <w:ind w:left="420"/>
        <w:outlineLvl w:val="1"/>
        <w:rPr>
          <w:bCs/>
          <w:sz w:val="24"/>
          <w:szCs w:val="32"/>
          <w:highlight w:val="none"/>
        </w:rPr>
      </w:pPr>
      <w:r>
        <w:rPr>
          <w:rFonts w:hint="eastAsia"/>
          <w:b/>
          <w:sz w:val="24"/>
          <w:szCs w:val="32"/>
          <w:highlight w:val="none"/>
        </w:rPr>
        <w:t>12.6</w:t>
      </w:r>
      <w:r>
        <w:rPr>
          <w:rFonts w:hint="eastAsia"/>
          <w:bCs/>
          <w:sz w:val="24"/>
          <w:szCs w:val="32"/>
          <w:highlight w:val="none"/>
        </w:rPr>
        <w:t xml:space="preserve"> 其它费用</w:t>
      </w:r>
    </w:p>
    <w:p>
      <w:pPr>
        <w:keepNext/>
        <w:keepLines/>
        <w:spacing w:line="360" w:lineRule="auto"/>
        <w:ind w:firstLine="420"/>
        <w:rPr>
          <w:sz w:val="24"/>
          <w:highlight w:val="none"/>
        </w:rPr>
      </w:pPr>
      <w:r>
        <w:rPr>
          <w:rFonts w:hint="eastAsia"/>
          <w:sz w:val="24"/>
          <w:highlight w:val="none"/>
        </w:rPr>
        <w:t>除托管费、固定管理费、销售服务费、浮动管理费（如有）之外的产品税收及费用，由产品管理人根据其他有关法规及相应协议的规定，按费用支出金额支付，列入或摊入当期产品费用。</w:t>
      </w:r>
    </w:p>
    <w:p>
      <w:pPr>
        <w:keepNext/>
        <w:keepLines/>
        <w:spacing w:line="360" w:lineRule="auto"/>
        <w:ind w:firstLine="480"/>
        <w:rPr>
          <w:sz w:val="24"/>
          <w:highlight w:val="none"/>
        </w:rPr>
      </w:pPr>
      <w:r>
        <w:rPr>
          <w:rFonts w:hint="eastAsia"/>
          <w:sz w:val="24"/>
          <w:highlight w:val="none"/>
        </w:rPr>
        <w:t>理财产品免收银行结算费用。</w:t>
      </w:r>
    </w:p>
    <w:p>
      <w:pPr>
        <w:keepNext/>
        <w:keepLines/>
        <w:numPr>
          <w:ilvl w:val="255"/>
          <w:numId w:val="0"/>
        </w:numPr>
        <w:tabs>
          <w:tab w:val="left" w:pos="1584"/>
        </w:tabs>
        <w:spacing w:line="360" w:lineRule="auto"/>
        <w:ind w:firstLine="482"/>
        <w:outlineLvl w:val="1"/>
        <w:rPr>
          <w:sz w:val="24"/>
          <w:highlight w:val="none"/>
        </w:rPr>
      </w:pPr>
      <w:r>
        <w:rPr>
          <w:rFonts w:hint="eastAsia"/>
          <w:sz w:val="24"/>
          <w:highlight w:val="none"/>
        </w:rPr>
        <w:t>12.7 费用调整</w:t>
      </w:r>
    </w:p>
    <w:p>
      <w:pPr>
        <w:keepNext/>
        <w:keepLines/>
        <w:spacing w:line="360" w:lineRule="auto"/>
        <w:ind w:firstLine="480"/>
        <w:rPr>
          <w:sz w:val="24"/>
          <w:highlight w:val="none"/>
        </w:rPr>
      </w:pPr>
      <w:r>
        <w:rPr>
          <w:rFonts w:hint="eastAsia"/>
          <w:sz w:val="24"/>
          <w:highlight w:val="none"/>
        </w:rPr>
        <w:t>产品管理人有权根据相关法律和国家政策的规定，对本理财产品的收费项目、收费条件、收费标准和收费方式进行调整。如新增收费项目或调整收费标准，则至少于收费标准调整日之前5个工作日进行公告。如投资者不接受的，可按本理财产品说明书的约定赎回。</w:t>
      </w:r>
    </w:p>
    <w:p>
      <w:pPr>
        <w:pStyle w:val="3"/>
        <w:rPr>
          <w:szCs w:val="28"/>
          <w:highlight w:val="none"/>
        </w:rPr>
      </w:pPr>
      <w:bookmarkStart w:id="110" w:name="_Toc19348"/>
      <w:bookmarkStart w:id="111" w:name="_Toc13385"/>
      <w:bookmarkStart w:id="112" w:name="_Toc27348"/>
      <w:bookmarkStart w:id="113" w:name="_Toc127449905"/>
      <w:bookmarkStart w:id="114" w:name="_Toc4832"/>
      <w:bookmarkStart w:id="115" w:name="_Toc28034"/>
      <w:bookmarkStart w:id="116" w:name="_Toc31505"/>
      <w:bookmarkStart w:id="117" w:name="_Toc3500"/>
      <w:r>
        <w:rPr>
          <w:rFonts w:hint="eastAsia"/>
          <w:szCs w:val="28"/>
          <w:highlight w:val="none"/>
        </w:rPr>
        <w:t>理财产品的变更、终止与清算</w:t>
      </w:r>
      <w:bookmarkEnd w:id="110"/>
      <w:bookmarkEnd w:id="111"/>
      <w:bookmarkEnd w:id="112"/>
      <w:bookmarkEnd w:id="113"/>
      <w:bookmarkEnd w:id="114"/>
      <w:bookmarkEnd w:id="115"/>
      <w:bookmarkEnd w:id="116"/>
      <w:bookmarkEnd w:id="117"/>
    </w:p>
    <w:p>
      <w:pPr>
        <w:pStyle w:val="189"/>
        <w:keepNext/>
        <w:keepLines/>
        <w:numPr>
          <w:ilvl w:val="0"/>
          <w:numId w:val="2"/>
        </w:numPr>
        <w:spacing w:line="360" w:lineRule="auto"/>
        <w:outlineLvl w:val="1"/>
        <w:rPr>
          <w:bCs/>
          <w:vanish/>
          <w:sz w:val="24"/>
          <w:szCs w:val="32"/>
          <w:highlight w:val="none"/>
        </w:rPr>
      </w:pPr>
    </w:p>
    <w:p>
      <w:pPr>
        <w:pStyle w:val="4"/>
        <w:keepNext/>
        <w:keepLines/>
        <w:ind w:left="0" w:firstLine="420"/>
        <w:rPr>
          <w:highlight w:val="none"/>
        </w:rPr>
      </w:pPr>
      <w:r>
        <w:rPr>
          <w:rFonts w:hint="eastAsia"/>
          <w:highlight w:val="none"/>
        </w:rPr>
        <w:t>理财产品的变更</w:t>
      </w:r>
    </w:p>
    <w:p>
      <w:pPr>
        <w:keepNext/>
        <w:keepLines/>
        <w:spacing w:line="360" w:lineRule="auto"/>
        <w:ind w:firstLine="420"/>
        <w:rPr>
          <w:sz w:val="24"/>
          <w:highlight w:val="none"/>
        </w:rPr>
      </w:pPr>
      <w:r>
        <w:rPr>
          <w:rFonts w:hint="eastAsia"/>
          <w:sz w:val="24"/>
          <w:highlight w:val="none"/>
        </w:rPr>
        <w:t>理财产品发生变更时，甲方应提前3个工作日通知乙方并向乙方提供发生变更的相关文件，作为乙方进行托管运作的书面依据。</w:t>
      </w:r>
    </w:p>
    <w:p>
      <w:pPr>
        <w:pStyle w:val="4"/>
        <w:keepNext/>
        <w:keepLines/>
        <w:ind w:left="0" w:firstLine="420"/>
        <w:rPr>
          <w:highlight w:val="none"/>
        </w:rPr>
      </w:pPr>
      <w:r>
        <w:rPr>
          <w:rFonts w:hint="eastAsia"/>
          <w:highlight w:val="none"/>
        </w:rPr>
        <w:t>理财产品的终止</w:t>
      </w:r>
    </w:p>
    <w:p>
      <w:pPr>
        <w:keepNext/>
        <w:keepLines/>
        <w:spacing w:line="360" w:lineRule="auto"/>
        <w:ind w:firstLine="420"/>
        <w:rPr>
          <w:sz w:val="24"/>
          <w:highlight w:val="none"/>
        </w:rPr>
      </w:pPr>
      <w:r>
        <w:rPr>
          <w:rFonts w:hint="eastAsia"/>
          <w:sz w:val="24"/>
          <w:highlight w:val="none"/>
        </w:rPr>
        <w:t>根据理财产品文件的约定，理财产品终止的情形出现时，乙方配合甲方办理理财产品清算的有关事宜。</w:t>
      </w:r>
    </w:p>
    <w:p>
      <w:pPr>
        <w:pStyle w:val="4"/>
        <w:keepNext/>
        <w:keepLines/>
        <w:ind w:left="0" w:firstLine="420"/>
        <w:rPr>
          <w:highlight w:val="none"/>
        </w:rPr>
      </w:pPr>
      <w:r>
        <w:rPr>
          <w:rFonts w:hint="eastAsia"/>
          <w:highlight w:val="none"/>
        </w:rPr>
        <w:t>理财产品财产清算</w:t>
      </w:r>
    </w:p>
    <w:p>
      <w:pPr>
        <w:pStyle w:val="5"/>
        <w:keepNext/>
        <w:keepLines/>
        <w:ind w:firstLine="420"/>
        <w:rPr>
          <w:highlight w:val="none"/>
        </w:rPr>
      </w:pPr>
      <w:r>
        <w:rPr>
          <w:rFonts w:hint="eastAsia"/>
          <w:highlight w:val="none"/>
        </w:rPr>
        <w:t>甲方应按照理财产品文件的相关规定，在理财产品到期终止前的规定时间内和理财产品提前终止时及时变现理财财产。</w:t>
      </w:r>
    </w:p>
    <w:p>
      <w:pPr>
        <w:pStyle w:val="5"/>
        <w:keepNext/>
        <w:keepLines/>
        <w:ind w:firstLine="420"/>
        <w:rPr>
          <w:highlight w:val="none"/>
        </w:rPr>
      </w:pPr>
      <w:r>
        <w:rPr>
          <w:rFonts w:hint="eastAsia"/>
          <w:highlight w:val="none"/>
        </w:rPr>
        <w:t>如发生可能引起理财产品提前终止的事项，甲方应及时通知乙方，以便乙方做好清算准备。理财产品提前终止时，甲方应在理财产品提前终止日当日通知乙方，并提供相关证明文件。</w:t>
      </w:r>
    </w:p>
    <w:p>
      <w:pPr>
        <w:pStyle w:val="5"/>
        <w:keepNext/>
        <w:keepLines/>
        <w:ind w:firstLine="420"/>
        <w:rPr>
          <w:highlight w:val="none"/>
        </w:rPr>
      </w:pPr>
      <w:r>
        <w:rPr>
          <w:rFonts w:hint="eastAsia"/>
          <w:highlight w:val="none"/>
        </w:rPr>
        <w:t>甲方应当于理财产品终止后二个工作日内做出处理理财产品事务的清算报告并提交乙方复核。乙方自收到清算报告后的三个工作日内完成复核，复核无误后通知甲方。</w:t>
      </w:r>
    </w:p>
    <w:p>
      <w:pPr>
        <w:pStyle w:val="5"/>
        <w:keepNext/>
        <w:keepLines/>
        <w:ind w:firstLine="420"/>
        <w:rPr>
          <w:highlight w:val="none"/>
        </w:rPr>
      </w:pPr>
      <w:r>
        <w:rPr>
          <w:rFonts w:hint="eastAsia"/>
          <w:highlight w:val="none"/>
        </w:rPr>
        <w:t>清算单位净值为产品到期日前一自然日产品单位净值，具体以产品说明书为准。产品单位净值为已扣除各项费用（包括但不限于销售费、托管费、固定管理费、浮动管理费等）后的单位净值。（清算单位净值估值结果保留至小数点后四位，小数点4位以后四舍五入。）理财产品终止时变现的全部资产扣除应由理财产品财产承担的管理费、托管费、税费及其他理财产品文件规定由理财产品财产承担的费用后，由受益人按照理财产品文件的规定，享有清算后的剩余财产。</w:t>
      </w:r>
    </w:p>
    <w:p>
      <w:pPr>
        <w:pStyle w:val="5"/>
        <w:keepNext/>
        <w:keepLines/>
        <w:ind w:firstLine="420"/>
        <w:rPr>
          <w:highlight w:val="none"/>
        </w:rPr>
      </w:pPr>
      <w:r>
        <w:rPr>
          <w:rFonts w:hint="eastAsia"/>
          <w:highlight w:val="none"/>
        </w:rPr>
        <w:t>乙方根据本协议的规定，按甲方划款指令的要求，支付托管费、管理费、税费及其他理财产品文件规定由理财产品财产承担的费用、分配受益人利益等。</w:t>
      </w:r>
    </w:p>
    <w:p>
      <w:pPr>
        <w:pStyle w:val="5"/>
        <w:keepNext/>
        <w:keepLines/>
        <w:ind w:firstLine="420"/>
        <w:rPr>
          <w:highlight w:val="none"/>
        </w:rPr>
      </w:pPr>
      <w:r>
        <w:rPr>
          <w:rFonts w:hint="eastAsia"/>
          <w:highlight w:val="none"/>
        </w:rPr>
        <w:t>乙方执行上述第13.3.5条约定划款指令后，本协议终止，乙方不再对理财产品财产有托管职责。</w:t>
      </w:r>
    </w:p>
    <w:p>
      <w:pPr>
        <w:pStyle w:val="3"/>
        <w:rPr>
          <w:szCs w:val="28"/>
          <w:highlight w:val="none"/>
        </w:rPr>
      </w:pPr>
      <w:bookmarkStart w:id="118" w:name="_Toc27855"/>
      <w:bookmarkStart w:id="119" w:name="_Toc13131"/>
      <w:bookmarkStart w:id="120" w:name="_Toc27258"/>
      <w:bookmarkStart w:id="121" w:name="_Toc14508"/>
      <w:bookmarkStart w:id="122" w:name="_Toc31615"/>
      <w:bookmarkStart w:id="123" w:name="_Toc2529"/>
      <w:bookmarkStart w:id="124" w:name="_Toc127449906"/>
      <w:bookmarkStart w:id="125" w:name="_Toc21548"/>
      <w:r>
        <w:rPr>
          <w:rFonts w:hint="eastAsia"/>
          <w:szCs w:val="28"/>
          <w:highlight w:val="none"/>
        </w:rPr>
        <w:t>文件和档案的保存</w:t>
      </w:r>
      <w:bookmarkEnd w:id="118"/>
      <w:bookmarkEnd w:id="119"/>
      <w:bookmarkEnd w:id="120"/>
      <w:bookmarkEnd w:id="121"/>
      <w:bookmarkEnd w:id="122"/>
      <w:bookmarkEnd w:id="123"/>
      <w:bookmarkEnd w:id="124"/>
      <w:bookmarkEnd w:id="125"/>
    </w:p>
    <w:p>
      <w:pPr>
        <w:pStyle w:val="189"/>
        <w:keepNext/>
        <w:keepLines/>
        <w:numPr>
          <w:ilvl w:val="0"/>
          <w:numId w:val="2"/>
        </w:numPr>
        <w:spacing w:line="360" w:lineRule="auto"/>
        <w:outlineLvl w:val="1"/>
        <w:rPr>
          <w:bCs/>
          <w:vanish/>
          <w:sz w:val="24"/>
          <w:szCs w:val="32"/>
          <w:highlight w:val="none"/>
        </w:rPr>
      </w:pPr>
    </w:p>
    <w:p>
      <w:pPr>
        <w:pStyle w:val="4"/>
        <w:keepNext/>
        <w:keepLines/>
        <w:ind w:left="0" w:firstLine="420"/>
        <w:rPr>
          <w:highlight w:val="none"/>
        </w:rPr>
      </w:pPr>
      <w:r>
        <w:rPr>
          <w:rFonts w:hint="eastAsia"/>
          <w:highlight w:val="none"/>
        </w:rPr>
        <w:t>会计档案的保存</w:t>
      </w:r>
    </w:p>
    <w:p>
      <w:pPr>
        <w:pStyle w:val="5"/>
        <w:keepNext/>
        <w:keepLines/>
        <w:ind w:firstLine="420"/>
        <w:rPr>
          <w:highlight w:val="none"/>
        </w:rPr>
      </w:pPr>
      <w:r>
        <w:rPr>
          <w:rFonts w:hint="eastAsia"/>
          <w:highlight w:val="none"/>
        </w:rPr>
        <w:t>甲方和乙方对理财产品会计档案原件的保存遵循“谁取得、谁保管”的原则。甲方和乙方应按上述原则各自完整保存各自产生的记录理财产品业务活动的原始凭证、记账凭证、理财产品账册、交易记录、理财产品份额持有人名册和重要合同等文件档案及电子文档。</w:t>
      </w:r>
    </w:p>
    <w:p>
      <w:pPr>
        <w:pStyle w:val="5"/>
        <w:keepNext/>
        <w:keepLines/>
        <w:ind w:firstLine="420"/>
        <w:rPr>
          <w:highlight w:val="none"/>
        </w:rPr>
      </w:pPr>
      <w:r>
        <w:rPr>
          <w:rFonts w:hint="eastAsia"/>
          <w:highlight w:val="none"/>
        </w:rPr>
        <w:t>为理财产品财产管理和托管之目的，非原件保管一方需要使用上述原件的，保管原件一方应提供扫描件提供给对方。</w:t>
      </w:r>
    </w:p>
    <w:p>
      <w:pPr>
        <w:pStyle w:val="4"/>
        <w:keepNext/>
        <w:keepLines/>
        <w:ind w:left="0" w:firstLine="420"/>
        <w:rPr>
          <w:highlight w:val="none"/>
        </w:rPr>
      </w:pPr>
      <w:r>
        <w:rPr>
          <w:rFonts w:hint="eastAsia"/>
          <w:highlight w:val="none"/>
        </w:rPr>
        <w:t>合同档案的保存</w:t>
      </w:r>
    </w:p>
    <w:p>
      <w:pPr>
        <w:pStyle w:val="5"/>
        <w:keepNext/>
        <w:keepLines/>
        <w:ind w:firstLine="420"/>
        <w:rPr>
          <w:highlight w:val="none"/>
        </w:rPr>
      </w:pPr>
      <w:r>
        <w:rPr>
          <w:rFonts w:hint="eastAsia"/>
          <w:highlight w:val="none"/>
        </w:rPr>
        <w:t>甲方签署与理财产品有关的重大合同文本后，应在5个工作日内将合同文本正本或加盖其印鉴的扫描件一份送达乙方处。</w:t>
      </w:r>
    </w:p>
    <w:p>
      <w:pPr>
        <w:pStyle w:val="5"/>
        <w:keepNext/>
        <w:keepLines/>
        <w:ind w:firstLine="420"/>
        <w:rPr>
          <w:rFonts w:ascii="宋体" w:hAnsi="宋体"/>
          <w:szCs w:val="21"/>
          <w:highlight w:val="none"/>
        </w:rPr>
      </w:pPr>
      <w:r>
        <w:rPr>
          <w:rFonts w:hint="eastAsia"/>
          <w:highlight w:val="none"/>
        </w:rPr>
        <w:t>甲方应及时将与理财产品账务处理、资金划拨等有关的合同、协议传真/邮箱发送至乙方</w:t>
      </w:r>
      <w:r>
        <w:rPr>
          <w:rFonts w:ascii="宋体" w:hAnsi="宋体"/>
          <w:szCs w:val="21"/>
          <w:highlight w:val="none"/>
        </w:rPr>
        <w:t>。</w:t>
      </w:r>
    </w:p>
    <w:p>
      <w:pPr>
        <w:pStyle w:val="4"/>
        <w:keepNext/>
        <w:keepLines/>
        <w:ind w:left="0" w:firstLine="420"/>
        <w:rPr>
          <w:highlight w:val="none"/>
        </w:rPr>
      </w:pPr>
      <w:r>
        <w:rPr>
          <w:rFonts w:hint="eastAsia"/>
          <w:highlight w:val="none"/>
        </w:rPr>
        <w:t>保密</w:t>
      </w:r>
    </w:p>
    <w:p>
      <w:pPr>
        <w:keepNext/>
        <w:keepLines/>
        <w:spacing w:line="360" w:lineRule="auto"/>
        <w:ind w:firstLine="420"/>
        <w:rPr>
          <w:sz w:val="24"/>
          <w:highlight w:val="none"/>
        </w:rPr>
      </w:pPr>
      <w:r>
        <w:rPr>
          <w:rFonts w:hint="eastAsia"/>
          <w:sz w:val="24"/>
          <w:highlight w:val="none"/>
        </w:rPr>
        <w:t>乙方和甲方对所保管的理财产品有关文件和档案应遵守保密义务，但法律、行政法规或相关监管当局要求披露的除外。</w:t>
      </w:r>
    </w:p>
    <w:p>
      <w:pPr>
        <w:pStyle w:val="3"/>
        <w:rPr>
          <w:szCs w:val="28"/>
          <w:highlight w:val="none"/>
        </w:rPr>
      </w:pPr>
      <w:bookmarkStart w:id="126" w:name="_Toc12570"/>
      <w:bookmarkStart w:id="127" w:name="_Toc127449907"/>
      <w:bookmarkStart w:id="128" w:name="_Toc3554"/>
      <w:bookmarkStart w:id="129" w:name="_Toc26728"/>
      <w:bookmarkStart w:id="130" w:name="_Toc19563"/>
      <w:bookmarkStart w:id="131" w:name="_Toc18492"/>
      <w:bookmarkStart w:id="132" w:name="_Toc18872"/>
      <w:bookmarkStart w:id="133" w:name="_Toc23849"/>
      <w:r>
        <w:rPr>
          <w:rFonts w:hint="eastAsia"/>
          <w:szCs w:val="28"/>
          <w:highlight w:val="none"/>
        </w:rPr>
        <w:t>违约责任、其他责任与免责条款</w:t>
      </w:r>
      <w:bookmarkEnd w:id="126"/>
      <w:bookmarkEnd w:id="127"/>
      <w:bookmarkEnd w:id="128"/>
      <w:bookmarkEnd w:id="129"/>
      <w:bookmarkEnd w:id="130"/>
      <w:bookmarkEnd w:id="131"/>
      <w:bookmarkEnd w:id="132"/>
      <w:bookmarkEnd w:id="133"/>
    </w:p>
    <w:p>
      <w:pPr>
        <w:pStyle w:val="189"/>
        <w:keepNext/>
        <w:keepLines/>
        <w:numPr>
          <w:ilvl w:val="0"/>
          <w:numId w:val="2"/>
        </w:numPr>
        <w:spacing w:line="360" w:lineRule="auto"/>
        <w:outlineLvl w:val="1"/>
        <w:rPr>
          <w:bCs/>
          <w:vanish/>
          <w:sz w:val="24"/>
          <w:szCs w:val="32"/>
          <w:highlight w:val="none"/>
        </w:rPr>
      </w:pPr>
    </w:p>
    <w:p>
      <w:pPr>
        <w:pStyle w:val="4"/>
        <w:keepNext/>
        <w:keepLines/>
        <w:ind w:left="0" w:firstLine="420"/>
        <w:rPr>
          <w:highlight w:val="none"/>
        </w:rPr>
      </w:pPr>
      <w:r>
        <w:rPr>
          <w:rFonts w:hint="eastAsia"/>
          <w:highlight w:val="none"/>
        </w:rPr>
        <w:t>违约责任</w:t>
      </w:r>
    </w:p>
    <w:p>
      <w:pPr>
        <w:pStyle w:val="5"/>
        <w:keepNext/>
        <w:keepLines/>
        <w:ind w:firstLine="420"/>
        <w:rPr>
          <w:highlight w:val="none"/>
        </w:rPr>
      </w:pPr>
      <w:r>
        <w:rPr>
          <w:rFonts w:hint="eastAsia"/>
          <w:highlight w:val="none"/>
        </w:rPr>
        <w:t>违约</w:t>
      </w:r>
    </w:p>
    <w:p>
      <w:pPr>
        <w:keepNext/>
        <w:keepLines/>
        <w:spacing w:line="360" w:lineRule="auto"/>
        <w:ind w:firstLine="420"/>
        <w:rPr>
          <w:sz w:val="24"/>
          <w:highlight w:val="none"/>
        </w:rPr>
      </w:pPr>
      <w:r>
        <w:rPr>
          <w:rFonts w:hint="eastAsia"/>
          <w:sz w:val="24"/>
          <w:highlight w:val="none"/>
        </w:rPr>
        <w:t>本协议任何一方未能履行本协议各项条款规定的与其有关的任何一项义务视为违约。</w:t>
      </w:r>
    </w:p>
    <w:p>
      <w:pPr>
        <w:pStyle w:val="5"/>
        <w:keepNext/>
        <w:keepLines/>
        <w:ind w:firstLine="420"/>
        <w:rPr>
          <w:highlight w:val="none"/>
        </w:rPr>
      </w:pPr>
      <w:r>
        <w:rPr>
          <w:rFonts w:hint="eastAsia"/>
          <w:highlight w:val="none"/>
        </w:rPr>
        <w:t>违约补救</w:t>
      </w:r>
    </w:p>
    <w:p>
      <w:pPr>
        <w:keepNext/>
        <w:keepLines/>
        <w:spacing w:line="360" w:lineRule="auto"/>
        <w:ind w:firstLine="420"/>
        <w:rPr>
          <w:sz w:val="24"/>
          <w:highlight w:val="none"/>
        </w:rPr>
      </w:pPr>
      <w:r>
        <w:rPr>
          <w:rFonts w:hint="eastAsia"/>
          <w:sz w:val="24"/>
          <w:highlight w:val="none"/>
        </w:rPr>
        <w:t>违约方应该在收到守约方的通知后三个工作日内采取有效补救措施，使理财产品运行恢复到正常状态。</w:t>
      </w:r>
    </w:p>
    <w:p>
      <w:pPr>
        <w:pStyle w:val="5"/>
        <w:keepNext/>
        <w:keepLines/>
        <w:ind w:firstLine="420"/>
        <w:rPr>
          <w:highlight w:val="none"/>
        </w:rPr>
      </w:pPr>
      <w:r>
        <w:rPr>
          <w:rFonts w:hint="eastAsia"/>
          <w:highlight w:val="none"/>
        </w:rPr>
        <w:t>违约责任</w:t>
      </w:r>
    </w:p>
    <w:p>
      <w:pPr>
        <w:pStyle w:val="7"/>
        <w:keepNext/>
        <w:keepLines/>
        <w:numPr>
          <w:ilvl w:val="0"/>
          <w:numId w:val="18"/>
        </w:numPr>
        <w:ind w:left="0" w:firstLine="420"/>
        <w:rPr>
          <w:highlight w:val="none"/>
        </w:rPr>
      </w:pPr>
      <w:r>
        <w:rPr>
          <w:rFonts w:hint="eastAsia"/>
          <w:highlight w:val="none"/>
        </w:rPr>
        <w:t>本协议任何一方违约造成理财产品财产的损失，应对直接经济损失承担赔偿责任；</w:t>
      </w:r>
    </w:p>
    <w:p>
      <w:pPr>
        <w:pStyle w:val="7"/>
        <w:keepNext/>
        <w:keepLines/>
        <w:numPr>
          <w:ilvl w:val="0"/>
          <w:numId w:val="18"/>
        </w:numPr>
        <w:ind w:left="0" w:firstLine="420"/>
        <w:rPr>
          <w:highlight w:val="none"/>
        </w:rPr>
      </w:pPr>
      <w:r>
        <w:rPr>
          <w:rFonts w:hint="eastAsia"/>
          <w:highlight w:val="none"/>
        </w:rPr>
        <w:t>本协议任何一方违约造成守约方经济损失，应对</w:t>
      </w:r>
      <w:r>
        <w:rPr>
          <w:highlight w:val="none"/>
        </w:rPr>
        <w:t>造成的直接经济损失承担赔偿责任。</w:t>
      </w:r>
    </w:p>
    <w:p>
      <w:pPr>
        <w:keepNext/>
        <w:keepLines/>
        <w:spacing w:line="360" w:lineRule="auto"/>
        <w:ind w:firstLine="420"/>
        <w:rPr>
          <w:sz w:val="24"/>
          <w:highlight w:val="none"/>
        </w:rPr>
      </w:pPr>
      <w:r>
        <w:rPr>
          <w:rFonts w:hint="eastAsia"/>
          <w:sz w:val="24"/>
          <w:highlight w:val="none"/>
        </w:rPr>
        <w:t>但是发生下列情况，当事人可以免责：</w:t>
      </w:r>
    </w:p>
    <w:p>
      <w:pPr>
        <w:keepNext/>
        <w:keepLines/>
        <w:spacing w:line="360" w:lineRule="auto"/>
        <w:ind w:firstLine="420"/>
        <w:rPr>
          <w:sz w:val="24"/>
          <w:highlight w:val="none"/>
        </w:rPr>
      </w:pPr>
      <w:r>
        <w:rPr>
          <w:rFonts w:hint="eastAsia"/>
          <w:sz w:val="24"/>
          <w:highlight w:val="none"/>
        </w:rPr>
        <w:t>a.甲方及乙方按照当时有效的法律法规或国家金融监督管理总局等监管机构的规定作为或不作为而造成的损失等；</w:t>
      </w:r>
    </w:p>
    <w:p>
      <w:pPr>
        <w:keepNext/>
        <w:keepLines/>
        <w:spacing w:line="360" w:lineRule="auto"/>
        <w:ind w:firstLine="420"/>
        <w:rPr>
          <w:sz w:val="24"/>
          <w:highlight w:val="none"/>
        </w:rPr>
      </w:pPr>
      <w:r>
        <w:rPr>
          <w:rFonts w:hint="eastAsia"/>
          <w:sz w:val="24"/>
          <w:highlight w:val="none"/>
        </w:rPr>
        <w:t>b.发生自然灾害等不可抗力情形；</w:t>
      </w:r>
    </w:p>
    <w:p>
      <w:pPr>
        <w:keepNext/>
        <w:keepLines/>
        <w:spacing w:line="360" w:lineRule="auto"/>
        <w:ind w:firstLine="420"/>
        <w:rPr>
          <w:sz w:val="24"/>
          <w:highlight w:val="none"/>
        </w:rPr>
      </w:pPr>
      <w:r>
        <w:rPr>
          <w:rFonts w:hint="eastAsia"/>
          <w:sz w:val="24"/>
          <w:highlight w:val="none"/>
        </w:rPr>
        <w:t>c.计算机系统故障、网络故障、通讯故障、电力故障、计算机病毒攻击、法律法规变化及其它甲方及乙方不可控制的因素导致业务出现差错，甲方和乙方虽然已经采取必要、适当、合理的措施进行检查，但是未能发现错误的，由此给理财产品财产或理财产品受益人造成损失的，甲方和乙方免除赔偿责任。但是甲方和乙方应积极采取必要的措施消除由此造成的影响。</w:t>
      </w:r>
    </w:p>
    <w:p>
      <w:pPr>
        <w:pStyle w:val="5"/>
        <w:keepNext/>
        <w:keepLines/>
        <w:ind w:firstLine="420"/>
        <w:rPr>
          <w:highlight w:val="none"/>
        </w:rPr>
      </w:pPr>
      <w:r>
        <w:rPr>
          <w:rFonts w:hint="eastAsia"/>
          <w:highlight w:val="none"/>
        </w:rPr>
        <w:t>当事人一方违约，造成其他当事人无法正常履行本协议，由此产生的直接经济损失由初始违约方承担，但其他当事人在职责范围内有义务及时采取必要的措施，尽力防止损失的扩大。</w:t>
      </w:r>
    </w:p>
    <w:p>
      <w:pPr>
        <w:pStyle w:val="5"/>
        <w:keepNext/>
        <w:keepLines/>
        <w:ind w:firstLine="420"/>
        <w:rPr>
          <w:highlight w:val="none"/>
        </w:rPr>
      </w:pPr>
      <w:r>
        <w:rPr>
          <w:rFonts w:hint="eastAsia"/>
          <w:highlight w:val="none"/>
        </w:rPr>
        <w:t>在乙方严格遵循国家法律、法规及其他有关规定，并符合理财产品销售文件、本协议的约定履行理财产品托管义务的情况下，甲方不按本协议约定及时足额向乙方支付托管费或双方约定的任何其他合理费用的，甲方应在迟延支付的期间内按万分之五的日利率向乙方支付迟延利息。</w:t>
      </w:r>
    </w:p>
    <w:p>
      <w:pPr>
        <w:pStyle w:val="4"/>
        <w:keepNext/>
        <w:keepLines/>
        <w:ind w:left="0" w:firstLine="420"/>
        <w:rPr>
          <w:highlight w:val="none"/>
        </w:rPr>
      </w:pPr>
      <w:r>
        <w:rPr>
          <w:rFonts w:hint="eastAsia"/>
          <w:highlight w:val="none"/>
        </w:rPr>
        <w:t>风险提示</w:t>
      </w:r>
    </w:p>
    <w:p>
      <w:pPr>
        <w:keepNext/>
        <w:keepLines/>
        <w:spacing w:line="360" w:lineRule="auto"/>
        <w:ind w:firstLine="420"/>
        <w:rPr>
          <w:sz w:val="24"/>
          <w:highlight w:val="none"/>
        </w:rPr>
      </w:pPr>
      <w:r>
        <w:rPr>
          <w:rFonts w:hint="eastAsia"/>
          <w:sz w:val="24"/>
          <w:highlight w:val="none"/>
        </w:rPr>
        <w:t>乙方从甲方或其他第三方取得的包括但不限于划款指令、理财产品文件扫描件 /样本、通知、报告、对账单据、对账表、交割单、汇总交割单、成交单、额度单等书面凭据均通过形式审核方式予以核查，乙方认为必要时通过电话进行确认。</w:t>
      </w:r>
    </w:p>
    <w:p>
      <w:pPr>
        <w:pStyle w:val="4"/>
        <w:keepNext/>
        <w:keepLines/>
        <w:ind w:left="0" w:firstLine="420"/>
        <w:rPr>
          <w:highlight w:val="none"/>
        </w:rPr>
      </w:pPr>
      <w:r>
        <w:rPr>
          <w:rFonts w:hint="eastAsia"/>
          <w:highlight w:val="none"/>
        </w:rPr>
        <w:t>免责条款</w:t>
      </w:r>
    </w:p>
    <w:p>
      <w:pPr>
        <w:pStyle w:val="5"/>
        <w:keepNext/>
        <w:keepLines/>
        <w:ind w:firstLine="420"/>
        <w:rPr>
          <w:highlight w:val="none"/>
        </w:rPr>
      </w:pPr>
      <w:r>
        <w:rPr>
          <w:rFonts w:hint="eastAsia"/>
          <w:highlight w:val="none"/>
        </w:rPr>
        <w:t>理财产品财产在银行间市场进行交易的情况下，甲方负责选择交易对手及交易品种，乙方根据甲方发送的成交单或额度单履行本协议约定的托管职责。因甲方发送成交单或额度单的不真实、不完整、不及时、或因交易对手违反合同约定而造成乙方无法履行本协议约定的资金托管职责的，乙方不承担任何责任，亦不承担因此对受益人、甲方和理财产品财产造成的任何损失。</w:t>
      </w:r>
    </w:p>
    <w:p>
      <w:pPr>
        <w:pStyle w:val="5"/>
        <w:keepNext/>
        <w:keepLines/>
        <w:ind w:firstLine="420"/>
        <w:rPr>
          <w:highlight w:val="none"/>
        </w:rPr>
      </w:pPr>
      <w:r>
        <w:rPr>
          <w:rFonts w:hint="eastAsia"/>
          <w:highlight w:val="none"/>
        </w:rPr>
        <w:t>除法律、行政法规、部门规章和监管部门同时发送（含抄送）至乙方</w:t>
      </w:r>
    </w:p>
    <w:p>
      <w:pPr>
        <w:keepNext/>
        <w:keepLines/>
        <w:spacing w:line="360" w:lineRule="auto"/>
        <w:rPr>
          <w:sz w:val="24"/>
          <w:highlight w:val="none"/>
        </w:rPr>
      </w:pPr>
      <w:r>
        <w:rPr>
          <w:rFonts w:hint="eastAsia"/>
          <w:sz w:val="24"/>
          <w:highlight w:val="none"/>
        </w:rPr>
        <w:t>和甲方的通知、决定、文件外，对于理财产品应遵守的监管部门仅发送至甲方的与理财产品资金托管业务有关的通知、决定、文件等规定，甲方有义务向乙方书面提供。如因甲方未向乙方提供，造成乙方未适当履行本协议中未明确约定的监督职责，乙方对此不承担责任。</w:t>
      </w:r>
    </w:p>
    <w:p>
      <w:pPr>
        <w:pStyle w:val="5"/>
        <w:keepNext/>
        <w:keepLines/>
        <w:ind w:firstLine="420"/>
        <w:rPr>
          <w:highlight w:val="none"/>
        </w:rPr>
      </w:pPr>
      <w:r>
        <w:rPr>
          <w:rFonts w:hint="eastAsia"/>
          <w:highlight w:val="none"/>
        </w:rPr>
        <w:t>乙方不复核甲方递交的涉及单个理财产品受益人的利益分配明细数据及赎回交易明细数据的真实性、完整性与准确性。</w:t>
      </w:r>
    </w:p>
    <w:p>
      <w:pPr>
        <w:pStyle w:val="5"/>
        <w:keepNext/>
        <w:keepLines/>
        <w:ind w:firstLine="420"/>
        <w:rPr>
          <w:highlight w:val="none"/>
        </w:rPr>
      </w:pPr>
      <w:r>
        <w:rPr>
          <w:rFonts w:hint="eastAsia"/>
          <w:highlight w:val="none"/>
        </w:rPr>
        <w:t>乙方对理财产品财产的托管，并非对理财产品本金或收益的保证或承诺，乙方不承担投资风险；对甲方与投资人在理财产品销售文件中约定的分配等内容，乙方不承担任何责任；因甲方违背理财产品销售文件、处理理财产品事务不当使理财资金受到损失，乙方不承担赔偿责任。</w:t>
      </w:r>
    </w:p>
    <w:p>
      <w:pPr>
        <w:pStyle w:val="5"/>
        <w:keepNext/>
        <w:keepLines/>
        <w:ind w:firstLine="420"/>
        <w:rPr>
          <w:highlight w:val="none"/>
        </w:rPr>
      </w:pPr>
      <w:r>
        <w:rPr>
          <w:rFonts w:hint="eastAsia"/>
          <w:highlight w:val="none"/>
        </w:rPr>
        <w:t>根据行业操作惯例，在甲方以电子邮件、传真或其他双方认可的形式向乙方发出划款指令后，该划款指令原件由甲方保管，乙方保管扫描件或传真件。甲乙双方约定：划款指令扫描件或传真件法律效力视同原件，如划款指令扫描件或传真件与划款指令原件的记载内容有不一致而产生的一切后果与责任，均由甲方承担，与乙方无涉，乙方不承担任何责任。</w:t>
      </w:r>
    </w:p>
    <w:p>
      <w:pPr>
        <w:pStyle w:val="5"/>
        <w:keepNext/>
        <w:keepLines/>
        <w:ind w:firstLine="420"/>
        <w:rPr>
          <w:highlight w:val="none"/>
        </w:rPr>
      </w:pPr>
      <w:r>
        <w:rPr>
          <w:rFonts w:hint="eastAsia"/>
          <w:highlight w:val="none"/>
        </w:rPr>
        <w:t>本协议双方应该勤勉尽责履行本协议规定的相应义务，任何一方因本协议另一方的违约行为导致不能履行其相应义务的，不承担违约责任，由此导致的责任由初始违约方承担；</w:t>
      </w:r>
    </w:p>
    <w:p>
      <w:pPr>
        <w:pStyle w:val="5"/>
        <w:keepNext/>
        <w:keepLines/>
        <w:ind w:firstLine="420"/>
        <w:rPr>
          <w:highlight w:val="none"/>
        </w:rPr>
      </w:pPr>
      <w:r>
        <w:rPr>
          <w:rFonts w:hint="eastAsia"/>
          <w:highlight w:val="none"/>
        </w:rPr>
        <w:t>本协议当事人应保证向本托管协议其他方提供的数据、信息真实完整，并承担相应的法律责任。如果该方提供的信息和数据不真实或不完整是由于本协议其他方提供的数据或信息不真实、不完整等原因所致，由此造成的损失由初始过错方承担，该方不承担责任。</w:t>
      </w:r>
    </w:p>
    <w:p>
      <w:pPr>
        <w:pStyle w:val="5"/>
        <w:keepNext/>
        <w:keepLines/>
        <w:rPr>
          <w:highlight w:val="none"/>
        </w:rPr>
      </w:pPr>
      <w:r>
        <w:rPr>
          <w:rFonts w:hint="eastAsia"/>
          <w:highlight w:val="none"/>
        </w:rPr>
        <w:t>乙方对由于第三方发送或提供的数据错误给本委托资产造成的损失等，乙方自身不存在过错的不承担责任。</w:t>
      </w:r>
    </w:p>
    <w:p>
      <w:pPr>
        <w:pStyle w:val="5"/>
        <w:keepNext/>
        <w:keepLines/>
        <w:ind w:firstLine="420"/>
        <w:rPr>
          <w:highlight w:val="none"/>
        </w:rPr>
      </w:pPr>
      <w:r>
        <w:rPr>
          <w:rFonts w:hint="eastAsia"/>
          <w:highlight w:val="none"/>
        </w:rPr>
        <w:t>乙方对存放或存管在乙方以外机构的理财资产，或交其他机构负责清算交收的理财资产及其收益，因该等机构故意欺诈、疏忽、过失、破产等原因给理财资产带来的损失等不承担任何责任。</w:t>
      </w:r>
    </w:p>
    <w:p>
      <w:pPr>
        <w:pStyle w:val="5"/>
        <w:keepNext/>
        <w:keepLines/>
        <w:ind w:firstLine="420"/>
        <w:rPr>
          <w:highlight w:val="none"/>
        </w:rPr>
      </w:pPr>
      <w:r>
        <w:rPr>
          <w:rFonts w:hint="eastAsia"/>
          <w:highlight w:val="none"/>
        </w:rPr>
        <w:t>理财产品的合法合规审查义务及反洗钱的义务由甲方承担，乙方对理财产品的合法合规及理财财产资金来源的合法性不承担任何责任。本协议所指损失均为直接经济损失。</w:t>
      </w:r>
    </w:p>
    <w:p>
      <w:pPr>
        <w:pStyle w:val="3"/>
        <w:rPr>
          <w:szCs w:val="28"/>
          <w:highlight w:val="none"/>
        </w:rPr>
      </w:pPr>
      <w:bookmarkStart w:id="134" w:name="_Toc26495"/>
      <w:bookmarkStart w:id="135" w:name="_Toc10327"/>
      <w:bookmarkStart w:id="136" w:name="_Toc23880"/>
      <w:bookmarkStart w:id="137" w:name="_Toc6746"/>
      <w:bookmarkStart w:id="138" w:name="_Toc127449908"/>
      <w:bookmarkStart w:id="139" w:name="_Toc11576"/>
      <w:bookmarkStart w:id="140" w:name="_Toc32363"/>
      <w:bookmarkStart w:id="141" w:name="_Toc7760"/>
      <w:r>
        <w:rPr>
          <w:rFonts w:hint="eastAsia"/>
          <w:szCs w:val="28"/>
          <w:highlight w:val="none"/>
        </w:rPr>
        <w:t>不可抗力</w:t>
      </w:r>
      <w:bookmarkEnd w:id="134"/>
      <w:bookmarkEnd w:id="135"/>
      <w:bookmarkEnd w:id="136"/>
      <w:bookmarkEnd w:id="137"/>
      <w:bookmarkEnd w:id="138"/>
      <w:bookmarkEnd w:id="139"/>
      <w:bookmarkEnd w:id="140"/>
      <w:bookmarkEnd w:id="141"/>
    </w:p>
    <w:p>
      <w:pPr>
        <w:pStyle w:val="189"/>
        <w:keepNext/>
        <w:keepLines/>
        <w:numPr>
          <w:ilvl w:val="0"/>
          <w:numId w:val="2"/>
        </w:numPr>
        <w:spacing w:line="360" w:lineRule="auto"/>
        <w:outlineLvl w:val="1"/>
        <w:rPr>
          <w:bCs/>
          <w:vanish/>
          <w:sz w:val="24"/>
          <w:szCs w:val="32"/>
          <w:highlight w:val="none"/>
        </w:rPr>
      </w:pPr>
    </w:p>
    <w:p>
      <w:pPr>
        <w:pStyle w:val="4"/>
        <w:keepNext/>
        <w:keepLines/>
        <w:ind w:left="0" w:firstLine="420"/>
        <w:rPr>
          <w:highlight w:val="none"/>
        </w:rPr>
      </w:pPr>
      <w:r>
        <w:rPr>
          <w:rFonts w:hint="eastAsia"/>
          <w:highlight w:val="none"/>
        </w:rPr>
        <w:t>如果发生任何不可抗力，即不可预见、不可避免、并不可克服的客观情况，包括但不限于瘟疫、地震、台风、水灾、火灾、飓风，雷击等自然性灾害，导致甲、乙双方不能履行本协议时，双方互不承担违约责任；如果发生任何系统故障</w:t>
      </w:r>
      <w:r>
        <w:rPr>
          <w:rFonts w:hint="eastAsia"/>
          <w:highlight w:val="none"/>
          <w:lang w:eastAsia="zh-CN"/>
        </w:rPr>
        <w:t>、</w:t>
      </w:r>
      <w:r>
        <w:rPr>
          <w:rFonts w:hint="eastAsia"/>
          <w:highlight w:val="none"/>
        </w:rPr>
        <w:t>设备故障、停止运作或瘫痪，国家法规、政策方面的重大变动，导致甲、乙双方因此不能履行本协议时，双方均不承担违约责任。协议一方因不可抗力及上述事件不能履行本协议时，应及时通知对方并在合理期限内提供受到不可抗力及上述事件影响的证明，并应采取适当措施防止理财财产损失的扩大。</w:t>
      </w:r>
    </w:p>
    <w:p>
      <w:pPr>
        <w:pStyle w:val="3"/>
        <w:rPr>
          <w:szCs w:val="28"/>
          <w:highlight w:val="none"/>
        </w:rPr>
      </w:pPr>
      <w:bookmarkStart w:id="142" w:name="_Toc14713"/>
      <w:bookmarkStart w:id="143" w:name="_Toc127449909"/>
      <w:bookmarkStart w:id="144" w:name="_Toc15613"/>
      <w:bookmarkStart w:id="145" w:name="_Toc19442"/>
      <w:bookmarkStart w:id="146" w:name="_Toc17402"/>
      <w:bookmarkStart w:id="147" w:name="_Toc9937"/>
      <w:bookmarkStart w:id="148" w:name="_Toc28378"/>
      <w:bookmarkStart w:id="149" w:name="_Toc23323"/>
      <w:r>
        <w:rPr>
          <w:rFonts w:hint="eastAsia"/>
          <w:szCs w:val="28"/>
          <w:highlight w:val="none"/>
        </w:rPr>
        <w:t>保密义务</w:t>
      </w:r>
      <w:bookmarkEnd w:id="142"/>
      <w:bookmarkEnd w:id="143"/>
      <w:bookmarkEnd w:id="144"/>
      <w:bookmarkEnd w:id="145"/>
      <w:bookmarkEnd w:id="146"/>
      <w:bookmarkEnd w:id="147"/>
      <w:bookmarkEnd w:id="148"/>
      <w:bookmarkEnd w:id="149"/>
    </w:p>
    <w:p>
      <w:pPr>
        <w:pStyle w:val="189"/>
        <w:keepNext/>
        <w:keepLines/>
        <w:numPr>
          <w:ilvl w:val="0"/>
          <w:numId w:val="2"/>
        </w:numPr>
        <w:spacing w:line="360" w:lineRule="auto"/>
        <w:outlineLvl w:val="1"/>
        <w:rPr>
          <w:bCs/>
          <w:vanish/>
          <w:sz w:val="24"/>
          <w:szCs w:val="32"/>
          <w:highlight w:val="none"/>
        </w:rPr>
      </w:pPr>
    </w:p>
    <w:p>
      <w:pPr>
        <w:pStyle w:val="4"/>
        <w:keepNext/>
        <w:keepLines/>
        <w:ind w:left="0" w:firstLine="420"/>
        <w:rPr>
          <w:highlight w:val="none"/>
        </w:rPr>
      </w:pPr>
      <w:r>
        <w:rPr>
          <w:rFonts w:hint="eastAsia"/>
          <w:highlight w:val="none"/>
        </w:rPr>
        <w:t>双方对于依据本协议所获得的所有关于理财产品投资者个人信息、对方的资产状况、公司经营状况、业务操作信息、以及理财产品的运作等内容严格保密，并责成因履行本协议而知悉上述机密的人员以及其它任何有可能接触到上述机密的人员保守秘密,不得向第三方披露上述机密。但是依据法律、法规、监管规定或应司法、行政等机关要求对外提供，向所聘请的审计、法律等外部专业顾问提供以及本协议另有规定的除外。</w:t>
      </w:r>
    </w:p>
    <w:p>
      <w:pPr>
        <w:pStyle w:val="4"/>
        <w:keepNext/>
        <w:keepLines/>
        <w:ind w:left="0" w:firstLine="420"/>
        <w:rPr>
          <w:highlight w:val="none"/>
        </w:rPr>
      </w:pPr>
      <w:r>
        <w:rPr>
          <w:rFonts w:hint="eastAsia"/>
          <w:highlight w:val="none"/>
        </w:rPr>
        <w:t>本协议双方进一步承诺不为本协议以外的目的利用该等保密信息，但前提是该方可向由其任命或雇佣的雇员、董事、管理人员、顾问、代理人或其他人员在为实现本协议目的所必需的范围内披露该等信息，在该等情况下，该方应确保其雇员、董事、管理人员、顾问、代理人或其他人员被告知本协议项下的保密义务并遵守该等义务。</w:t>
      </w:r>
    </w:p>
    <w:p>
      <w:pPr>
        <w:pStyle w:val="4"/>
        <w:keepNext/>
        <w:keepLines/>
        <w:ind w:left="0" w:firstLine="420"/>
        <w:rPr>
          <w:highlight w:val="none"/>
        </w:rPr>
      </w:pPr>
      <w:r>
        <w:rPr>
          <w:rFonts w:hint="eastAsia"/>
          <w:highlight w:val="none"/>
        </w:rPr>
        <w:t>本协议解除或终止后，第十七条约定继续有效，并不因本协议解除或终止而失效。</w:t>
      </w:r>
    </w:p>
    <w:p>
      <w:pPr>
        <w:keepNext/>
        <w:keepLines/>
        <w:rPr>
          <w:highlight w:val="none"/>
        </w:rPr>
      </w:pPr>
    </w:p>
    <w:p>
      <w:pPr>
        <w:pStyle w:val="3"/>
        <w:rPr>
          <w:szCs w:val="28"/>
          <w:highlight w:val="none"/>
        </w:rPr>
      </w:pPr>
      <w:bookmarkStart w:id="150" w:name="_Toc12455"/>
      <w:bookmarkStart w:id="151" w:name="_Toc5724"/>
      <w:bookmarkStart w:id="152" w:name="_Toc29477"/>
      <w:bookmarkStart w:id="153" w:name="_Toc6023"/>
      <w:bookmarkStart w:id="154" w:name="_Toc13246"/>
      <w:bookmarkStart w:id="155" w:name="_Toc13949"/>
      <w:bookmarkStart w:id="156" w:name="_Toc127449910"/>
      <w:bookmarkStart w:id="157" w:name="_Toc6870"/>
      <w:r>
        <w:rPr>
          <w:rFonts w:hint="eastAsia"/>
          <w:szCs w:val="28"/>
          <w:highlight w:val="none"/>
        </w:rPr>
        <w:t>争议的处理</w:t>
      </w:r>
      <w:bookmarkEnd w:id="150"/>
      <w:bookmarkEnd w:id="151"/>
      <w:bookmarkEnd w:id="152"/>
      <w:bookmarkEnd w:id="153"/>
      <w:bookmarkEnd w:id="154"/>
      <w:bookmarkEnd w:id="155"/>
      <w:bookmarkEnd w:id="156"/>
      <w:bookmarkEnd w:id="157"/>
    </w:p>
    <w:p>
      <w:pPr>
        <w:pStyle w:val="189"/>
        <w:keepNext/>
        <w:keepLines/>
        <w:numPr>
          <w:ilvl w:val="0"/>
          <w:numId w:val="2"/>
        </w:numPr>
        <w:spacing w:line="360" w:lineRule="auto"/>
        <w:outlineLvl w:val="1"/>
        <w:rPr>
          <w:bCs/>
          <w:vanish/>
          <w:sz w:val="24"/>
          <w:szCs w:val="32"/>
          <w:highlight w:val="none"/>
        </w:rPr>
      </w:pPr>
    </w:p>
    <w:p>
      <w:pPr>
        <w:pStyle w:val="4"/>
        <w:keepNext/>
        <w:keepLines/>
        <w:ind w:left="0" w:firstLine="420"/>
        <w:rPr>
          <w:highlight w:val="none"/>
        </w:rPr>
      </w:pPr>
      <w:r>
        <w:rPr>
          <w:rFonts w:hint="eastAsia"/>
          <w:highlight w:val="none"/>
        </w:rPr>
        <w:t>对于甲方、乙方在订立、内容、履行和解释或与本协议有关的争议，应本着友好合作、共同发展的精神协商解决。协商不能解决的，应提交甲方住所地人民法院进行诉讼。</w:t>
      </w:r>
    </w:p>
    <w:p>
      <w:pPr>
        <w:pStyle w:val="4"/>
        <w:keepNext/>
        <w:keepLines/>
        <w:ind w:left="0" w:firstLine="420"/>
        <w:rPr>
          <w:highlight w:val="none"/>
        </w:rPr>
      </w:pPr>
      <w:r>
        <w:rPr>
          <w:rFonts w:hint="eastAsia"/>
          <w:highlight w:val="none"/>
        </w:rPr>
        <w:t>在争议解决期间，除争议事项外，各方当事人应恪守职责，各自继续勤勉、尽责地履行本协议规定的义务，在争议解决期间，除争议所涉部分外，本协议的其余部分应继续履行。</w:t>
      </w:r>
    </w:p>
    <w:p>
      <w:pPr>
        <w:pStyle w:val="4"/>
        <w:keepNext/>
        <w:keepLines/>
        <w:ind w:left="0" w:firstLine="420"/>
        <w:rPr>
          <w:highlight w:val="none"/>
        </w:rPr>
      </w:pPr>
      <w:r>
        <w:rPr>
          <w:highlight w:val="none"/>
        </w:rPr>
        <w:t>本协议适用中华人民共和国法律并从其解释</w:t>
      </w:r>
      <w:r>
        <w:rPr>
          <w:rFonts w:hint="eastAsia"/>
          <w:highlight w:val="none"/>
        </w:rPr>
        <w:t>。</w:t>
      </w:r>
    </w:p>
    <w:p>
      <w:pPr>
        <w:pStyle w:val="3"/>
        <w:rPr>
          <w:szCs w:val="28"/>
          <w:highlight w:val="none"/>
        </w:rPr>
      </w:pPr>
      <w:bookmarkStart w:id="158" w:name="_Toc44"/>
      <w:bookmarkStart w:id="159" w:name="_Toc18880"/>
      <w:bookmarkStart w:id="160" w:name="_Toc28458"/>
      <w:bookmarkStart w:id="161" w:name="_Toc5681"/>
      <w:bookmarkStart w:id="162" w:name="_Toc3907"/>
      <w:bookmarkStart w:id="163" w:name="_Toc127449911"/>
      <w:bookmarkStart w:id="164" w:name="_Toc6786"/>
      <w:bookmarkStart w:id="165" w:name="_Toc15186"/>
      <w:r>
        <w:rPr>
          <w:rFonts w:hint="eastAsia"/>
          <w:szCs w:val="28"/>
          <w:highlight w:val="none"/>
        </w:rPr>
        <w:t>协议的生效与终止</w:t>
      </w:r>
      <w:bookmarkEnd w:id="158"/>
      <w:bookmarkEnd w:id="159"/>
      <w:bookmarkEnd w:id="160"/>
      <w:bookmarkEnd w:id="161"/>
      <w:bookmarkEnd w:id="162"/>
      <w:bookmarkEnd w:id="163"/>
      <w:bookmarkEnd w:id="164"/>
      <w:bookmarkEnd w:id="165"/>
    </w:p>
    <w:p>
      <w:pPr>
        <w:pStyle w:val="189"/>
        <w:keepNext/>
        <w:keepLines/>
        <w:numPr>
          <w:ilvl w:val="0"/>
          <w:numId w:val="2"/>
        </w:numPr>
        <w:spacing w:line="360" w:lineRule="auto"/>
        <w:outlineLvl w:val="1"/>
        <w:rPr>
          <w:bCs/>
          <w:vanish/>
          <w:sz w:val="24"/>
          <w:szCs w:val="32"/>
          <w:highlight w:val="none"/>
        </w:rPr>
      </w:pPr>
    </w:p>
    <w:p>
      <w:pPr>
        <w:pStyle w:val="4"/>
        <w:keepNext/>
        <w:keepLines/>
        <w:ind w:left="0" w:firstLine="420"/>
        <w:rPr>
          <w:highlight w:val="none"/>
        </w:rPr>
      </w:pPr>
      <w:r>
        <w:rPr>
          <w:rFonts w:hint="eastAsia"/>
          <w:highlight w:val="none"/>
        </w:rPr>
        <w:t>本协议一式肆份，甲方执贰份、乙方执贰份，均为正本，具有同等的法律效力。</w:t>
      </w:r>
    </w:p>
    <w:p>
      <w:pPr>
        <w:pStyle w:val="4"/>
        <w:keepNext/>
        <w:keepLines/>
        <w:ind w:left="0" w:firstLine="420"/>
        <w:rPr>
          <w:highlight w:val="none"/>
        </w:rPr>
      </w:pPr>
      <w:r>
        <w:rPr>
          <w:rFonts w:hint="eastAsia"/>
          <w:highlight w:val="none"/>
        </w:rPr>
        <w:t>本协议于下述条件全部满足之日生效：</w:t>
      </w:r>
    </w:p>
    <w:p>
      <w:pPr>
        <w:pStyle w:val="5"/>
        <w:keepNext/>
        <w:keepLines/>
        <w:ind w:firstLine="420"/>
        <w:rPr>
          <w:highlight w:val="none"/>
        </w:rPr>
      </w:pPr>
      <w:r>
        <w:rPr>
          <w:rFonts w:hint="eastAsia"/>
          <w:highlight w:val="none"/>
        </w:rPr>
        <w:t>经甲、乙双方当事人加盖公章或有效授权章或合同专用章以及双方法定代表人或授权代表签章；</w:t>
      </w:r>
    </w:p>
    <w:p>
      <w:pPr>
        <w:pStyle w:val="5"/>
        <w:keepNext/>
        <w:keepLines/>
        <w:ind w:firstLine="420"/>
        <w:rPr>
          <w:highlight w:val="none"/>
        </w:rPr>
      </w:pPr>
      <w:r>
        <w:rPr>
          <w:rFonts w:hint="eastAsia"/>
          <w:highlight w:val="none"/>
        </w:rPr>
        <w:t>甲乙双方已经按第7.1条的约定就“理财产品资金托管起始运作通知书”相互进行了确认。</w:t>
      </w:r>
    </w:p>
    <w:p>
      <w:pPr>
        <w:pStyle w:val="4"/>
        <w:keepNext/>
        <w:keepLines/>
        <w:ind w:left="0" w:firstLine="420"/>
        <w:rPr>
          <w:highlight w:val="none"/>
        </w:rPr>
      </w:pPr>
      <w:r>
        <w:rPr>
          <w:rFonts w:hint="eastAsia"/>
          <w:highlight w:val="none"/>
        </w:rPr>
        <w:t>在出现以下任意一种情况时，本协议终止：</w:t>
      </w:r>
    </w:p>
    <w:p>
      <w:pPr>
        <w:pStyle w:val="5"/>
        <w:keepNext/>
        <w:keepLines/>
        <w:ind w:firstLine="420"/>
        <w:rPr>
          <w:highlight w:val="none"/>
        </w:rPr>
      </w:pPr>
      <w:r>
        <w:rPr>
          <w:rFonts w:hint="eastAsia"/>
          <w:highlight w:val="none"/>
        </w:rPr>
        <w:t>理财产品终止并完成清算；（完成清算之日为本协议终止时间。）</w:t>
      </w:r>
    </w:p>
    <w:p>
      <w:pPr>
        <w:pStyle w:val="5"/>
        <w:keepNext/>
        <w:keepLines/>
        <w:ind w:firstLine="420"/>
        <w:rPr>
          <w:highlight w:val="none"/>
        </w:rPr>
      </w:pPr>
      <w:r>
        <w:rPr>
          <w:rFonts w:hint="eastAsia"/>
          <w:highlight w:val="none"/>
        </w:rPr>
        <w:t>双方协商一致后终止。</w:t>
      </w:r>
    </w:p>
    <w:p>
      <w:pPr>
        <w:pStyle w:val="6"/>
        <w:keepNext/>
        <w:keepLines/>
        <w:ind w:firstLine="420"/>
        <w:rPr>
          <w:sz w:val="24"/>
          <w:highlight w:val="none"/>
        </w:rPr>
      </w:pPr>
      <w:r>
        <w:rPr>
          <w:rFonts w:hint="eastAsia"/>
          <w:sz w:val="24"/>
          <w:highlight w:val="none"/>
        </w:rPr>
        <w:t>19.3.3 乙方发现甲方有下列情形的，有权终止托管服务：</w:t>
      </w:r>
    </w:p>
    <w:p>
      <w:pPr>
        <w:pStyle w:val="7"/>
        <w:numPr>
          <w:ilvl w:val="0"/>
          <w:numId w:val="19"/>
        </w:numPr>
        <w:tabs>
          <w:tab w:val="left" w:pos="0"/>
        </w:tabs>
        <w:ind w:left="0" w:firstLine="420"/>
        <w:rPr>
          <w:highlight w:val="none"/>
        </w:rPr>
      </w:pPr>
      <w:r>
        <w:rPr>
          <w:rFonts w:hint="eastAsia"/>
          <w:highlight w:val="none"/>
        </w:rPr>
        <w:t>违反资产管理目的，不当处分产品财产的；</w:t>
      </w:r>
    </w:p>
    <w:p>
      <w:pPr>
        <w:pStyle w:val="7"/>
        <w:numPr>
          <w:ilvl w:val="0"/>
          <w:numId w:val="19"/>
        </w:numPr>
        <w:tabs>
          <w:tab w:val="left" w:pos="0"/>
        </w:tabs>
        <w:ind w:left="0" w:firstLine="420"/>
        <w:rPr>
          <w:highlight w:val="none"/>
        </w:rPr>
      </w:pPr>
      <w:r>
        <w:rPr>
          <w:rFonts w:hint="eastAsia"/>
          <w:highlight w:val="none"/>
        </w:rPr>
        <w:t>未能遵守或履行合同约定的有关承诺、义务、陈述或保证；</w:t>
      </w:r>
    </w:p>
    <w:p>
      <w:pPr>
        <w:pStyle w:val="7"/>
        <w:numPr>
          <w:ilvl w:val="0"/>
          <w:numId w:val="19"/>
        </w:numPr>
        <w:tabs>
          <w:tab w:val="left" w:pos="0"/>
        </w:tabs>
        <w:ind w:left="0" w:firstLine="420"/>
        <w:rPr>
          <w:highlight w:val="none"/>
        </w:rPr>
      </w:pPr>
      <w:r>
        <w:rPr>
          <w:rFonts w:hint="eastAsia"/>
          <w:highlight w:val="none"/>
        </w:rPr>
        <w:t>被依法取消从事资产管理业务的相关资质或经营异常；</w:t>
      </w:r>
    </w:p>
    <w:p>
      <w:pPr>
        <w:pStyle w:val="7"/>
        <w:numPr>
          <w:ilvl w:val="0"/>
          <w:numId w:val="19"/>
        </w:numPr>
        <w:tabs>
          <w:tab w:val="left" w:pos="0"/>
        </w:tabs>
        <w:ind w:left="0" w:firstLine="420"/>
        <w:rPr>
          <w:highlight w:val="none"/>
        </w:rPr>
      </w:pPr>
      <w:r>
        <w:rPr>
          <w:rFonts w:hint="eastAsia"/>
          <w:highlight w:val="none"/>
        </w:rPr>
        <w:t>被依法解散、被依法撤销、被依法宣告破产或失联；</w:t>
      </w:r>
    </w:p>
    <w:p>
      <w:pPr>
        <w:pStyle w:val="7"/>
        <w:numPr>
          <w:ilvl w:val="0"/>
          <w:numId w:val="19"/>
        </w:numPr>
        <w:tabs>
          <w:tab w:val="left" w:pos="0"/>
        </w:tabs>
        <w:ind w:left="0" w:firstLine="420"/>
        <w:rPr>
          <w:highlight w:val="none"/>
        </w:rPr>
      </w:pPr>
      <w:r>
        <w:rPr>
          <w:rFonts w:hint="eastAsia"/>
          <w:highlight w:val="none"/>
        </w:rPr>
        <w:t>法律法规明确规定和合同约定的其他情形。</w:t>
      </w:r>
    </w:p>
    <w:p>
      <w:pPr>
        <w:pStyle w:val="7"/>
        <w:numPr>
          <w:ilvl w:val="255"/>
          <w:numId w:val="0"/>
        </w:numPr>
        <w:tabs>
          <w:tab w:val="left" w:pos="0"/>
        </w:tabs>
        <w:ind w:firstLine="420"/>
        <w:rPr>
          <w:rFonts w:ascii="Calibri" w:hAnsi="Calibri" w:cs="Calibri"/>
          <w:bCs w:val="0"/>
          <w:szCs w:val="24"/>
          <w:highlight w:val="none"/>
        </w:rPr>
      </w:pPr>
      <w:r>
        <w:rPr>
          <w:rFonts w:hint="eastAsia" w:ascii="Calibri" w:hAnsi="Calibri" w:cs="Calibri"/>
          <w:bCs w:val="0"/>
          <w:szCs w:val="24"/>
          <w:highlight w:val="none"/>
        </w:rPr>
        <w:t>19.3.4 出现19.3.3条第1、2、3项事由，乙方要求终止托管服务的，应与协议当事人签署托管终止协议，将托管资金转移至继任托管人；如甲方拒不签署终止协议或未落实继任托管人，乙方有权采用止付措施，或公告解除托管协议，不再履行托管职责；出现19.3.3条第4项事由，乙方应立即对托管资金账户采取止付措施。</w:t>
      </w:r>
    </w:p>
    <w:p>
      <w:pPr>
        <w:pStyle w:val="4"/>
        <w:keepNext/>
        <w:keepLines/>
        <w:ind w:left="0" w:firstLine="420"/>
        <w:rPr>
          <w:highlight w:val="none"/>
        </w:rPr>
      </w:pPr>
      <w:r>
        <w:rPr>
          <w:rFonts w:hint="eastAsia"/>
          <w:highlight w:val="none"/>
        </w:rPr>
        <w:t>协议的修改</w:t>
      </w:r>
    </w:p>
    <w:p>
      <w:pPr>
        <w:keepNext/>
        <w:keepLines/>
        <w:spacing w:line="360" w:lineRule="auto"/>
        <w:ind w:firstLine="420"/>
        <w:rPr>
          <w:sz w:val="24"/>
          <w:highlight w:val="none"/>
        </w:rPr>
      </w:pPr>
      <w:r>
        <w:rPr>
          <w:rFonts w:hint="eastAsia"/>
          <w:sz w:val="24"/>
          <w:highlight w:val="none"/>
        </w:rPr>
        <w:t>甲、乙双方经协商一致，可以对协议进行修改或签署补充协议。修改后的新协议或补充协议，其内容不得与相关法律法规以及理财产品文件的规定有任何冲突。补充协议与本协议具有同等的法律效力，是本协议不可分割的重要组成部分。</w:t>
      </w:r>
    </w:p>
    <w:p>
      <w:pPr>
        <w:pStyle w:val="4"/>
        <w:keepNext/>
        <w:keepLines/>
        <w:ind w:left="0" w:firstLine="420"/>
        <w:rPr>
          <w:highlight w:val="none"/>
        </w:rPr>
      </w:pPr>
      <w:r>
        <w:rPr>
          <w:rFonts w:hint="eastAsia"/>
          <w:highlight w:val="none"/>
        </w:rPr>
        <w:t>甲、乙双方在执行本协议过程中形成的“理财产品资金托管起始运作通知书”、其他通知、报告、函件等书面文件，均构成本协议的一部分，与本协议具有同等的法律效力。</w:t>
      </w:r>
    </w:p>
    <w:p>
      <w:pPr>
        <w:pStyle w:val="4"/>
        <w:keepNext/>
        <w:keepLines/>
        <w:ind w:left="0" w:firstLine="420"/>
        <w:rPr>
          <w:highlight w:val="none"/>
        </w:rPr>
      </w:pPr>
      <w:r>
        <w:rPr>
          <w:rFonts w:hint="eastAsia"/>
          <w:highlight w:val="none"/>
        </w:rPr>
        <w:t>本协议非经甲乙双方书面同意，不得修改</w:t>
      </w:r>
      <w:r>
        <w:rPr>
          <w:rFonts w:hint="eastAsia"/>
          <w:highlight w:val="none"/>
          <w:lang w:eastAsia="zh-CN"/>
        </w:rPr>
        <w:t>、</w:t>
      </w:r>
      <w:r>
        <w:rPr>
          <w:rFonts w:hint="eastAsia"/>
          <w:highlight w:val="none"/>
        </w:rPr>
        <w:t>。</w:t>
      </w:r>
    </w:p>
    <w:p>
      <w:pPr>
        <w:pStyle w:val="4"/>
        <w:keepNext/>
        <w:keepLines/>
        <w:ind w:left="0" w:firstLine="420"/>
        <w:rPr>
          <w:highlight w:val="none"/>
        </w:rPr>
      </w:pPr>
      <w:r>
        <w:rPr>
          <w:rFonts w:hint="eastAsia"/>
          <w:highlight w:val="none"/>
        </w:rPr>
        <w:t>如果在本协议有效期内出现影响或限制本协议约定的理财财产投资运作的法律、行政法规及政策，甲乙双方应立即对本协议及附件进行协商和修改。</w:t>
      </w:r>
    </w:p>
    <w:p>
      <w:pPr>
        <w:keepNext/>
        <w:keepLines/>
        <w:rPr>
          <w:sz w:val="24"/>
          <w:highlight w:val="none"/>
        </w:rPr>
      </w:pPr>
      <w:r>
        <w:rPr>
          <w:rFonts w:hint="eastAsia"/>
          <w:sz w:val="24"/>
          <w:highlight w:val="none"/>
        </w:rPr>
        <w:br w:type="page"/>
      </w:r>
    </w:p>
    <w:p>
      <w:pPr>
        <w:spacing w:line="360" w:lineRule="auto"/>
        <w:rPr>
          <w:sz w:val="24"/>
          <w:highlight w:val="none"/>
        </w:rPr>
      </w:pPr>
      <w:r>
        <w:rPr>
          <w:rFonts w:hint="eastAsia"/>
          <w:sz w:val="24"/>
          <w:highlight w:val="none"/>
        </w:rPr>
        <w:t>（本页为《恒丰理财理财产品托管协议》签署页，本页无正文）</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r>
        <w:rPr>
          <w:rFonts w:hint="eastAsia"/>
          <w:sz w:val="24"/>
          <w:highlight w:val="none"/>
        </w:rPr>
        <w:t>甲方：恒丰理财有限责任公司（公章或有效授权章或合同专用章）</w:t>
      </w:r>
    </w:p>
    <w:p>
      <w:pPr>
        <w:spacing w:line="360" w:lineRule="auto"/>
        <w:rPr>
          <w:sz w:val="24"/>
          <w:highlight w:val="none"/>
        </w:rPr>
      </w:pPr>
    </w:p>
    <w:p>
      <w:pPr>
        <w:spacing w:line="360" w:lineRule="auto"/>
        <w:rPr>
          <w:sz w:val="24"/>
          <w:highlight w:val="none"/>
        </w:rPr>
      </w:pPr>
      <w:r>
        <w:rPr>
          <w:rFonts w:hint="eastAsia"/>
          <w:sz w:val="24"/>
          <w:highlight w:val="none"/>
        </w:rPr>
        <w:t>法定代表人/负责人或授权代理人：（签章）</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r>
        <w:rPr>
          <w:rFonts w:hint="eastAsia"/>
          <w:sz w:val="24"/>
          <w:highlight w:val="none"/>
        </w:rPr>
        <w:t>乙方：</w:t>
      </w:r>
      <w:r>
        <w:rPr>
          <w:rFonts w:hint="eastAsia"/>
          <w:sz w:val="24"/>
          <w:highlight w:val="none"/>
          <w:lang w:eastAsia="zh-CN"/>
        </w:rPr>
        <w:t>中国民生银行股份有限公司</w:t>
      </w:r>
      <w:r>
        <w:rPr>
          <w:sz w:val="24"/>
          <w:highlight w:val="none"/>
        </w:rPr>
        <w:t>（公章或有效授权章或合同专用章）</w:t>
      </w:r>
    </w:p>
    <w:p>
      <w:pPr>
        <w:spacing w:line="360" w:lineRule="auto"/>
        <w:rPr>
          <w:sz w:val="24"/>
          <w:highlight w:val="none"/>
        </w:rPr>
      </w:pPr>
    </w:p>
    <w:p>
      <w:pPr>
        <w:spacing w:line="360" w:lineRule="auto"/>
        <w:rPr>
          <w:sz w:val="24"/>
          <w:highlight w:val="none"/>
        </w:rPr>
      </w:pPr>
      <w:r>
        <w:rPr>
          <w:rFonts w:hint="eastAsia"/>
          <w:sz w:val="24"/>
          <w:highlight w:val="none"/>
        </w:rPr>
        <w:t>法定代表人/负责人或授权代理人：（签章）</w:t>
      </w:r>
    </w:p>
    <w:p>
      <w:pPr>
        <w:spacing w:line="360" w:lineRule="auto"/>
        <w:rPr>
          <w:sz w:val="24"/>
          <w:highlight w:val="none"/>
        </w:rPr>
      </w:pPr>
    </w:p>
    <w:p>
      <w:pPr>
        <w:spacing w:line="360" w:lineRule="auto"/>
        <w:rPr>
          <w:sz w:val="24"/>
          <w:highlight w:val="none"/>
        </w:rPr>
      </w:pPr>
      <w:r>
        <w:rPr>
          <w:rFonts w:hint="eastAsia"/>
          <w:sz w:val="24"/>
          <w:highlight w:val="none"/>
        </w:rPr>
        <w:t>签约时间:</w:t>
      </w:r>
      <w:r>
        <w:rPr>
          <w:rFonts w:hint="eastAsia"/>
          <w:sz w:val="24"/>
          <w:highlight w:val="none"/>
          <w:lang w:val="en-US" w:eastAsia="zh-CN"/>
        </w:rPr>
        <w:t>2024</w:t>
      </w:r>
      <w:r>
        <w:rPr>
          <w:rFonts w:hint="eastAsia"/>
          <w:sz w:val="24"/>
          <w:highlight w:val="none"/>
        </w:rPr>
        <w:t>年</w:t>
      </w:r>
      <w:r>
        <w:rPr>
          <w:rFonts w:hint="eastAsia"/>
          <w:sz w:val="24"/>
          <w:highlight w:val="none"/>
          <w:lang w:val="en-US" w:eastAsia="zh-CN"/>
        </w:rPr>
        <w:t>07</w:t>
      </w:r>
      <w:bookmarkStart w:id="227" w:name="_GoBack"/>
      <w:bookmarkEnd w:id="227"/>
      <w:r>
        <w:rPr>
          <w:rFonts w:hint="eastAsia"/>
          <w:sz w:val="24"/>
          <w:highlight w:val="none"/>
        </w:rPr>
        <w:t>月    日</w:t>
      </w:r>
    </w:p>
    <w:p>
      <w:pPr>
        <w:pStyle w:val="6"/>
        <w:ind w:firstLine="480"/>
        <w:rPr>
          <w:sz w:val="24"/>
          <w:highlight w:val="none"/>
        </w:rPr>
      </w:pPr>
    </w:p>
    <w:p>
      <w:pPr>
        <w:pStyle w:val="3"/>
        <w:numPr>
          <w:ilvl w:val="0"/>
          <w:numId w:val="0"/>
        </w:numPr>
        <w:rPr>
          <w:szCs w:val="28"/>
          <w:highlight w:val="none"/>
        </w:rPr>
      </w:pPr>
      <w:bookmarkStart w:id="166" w:name="_Toc28948"/>
      <w:bookmarkStart w:id="167" w:name="_Toc14098"/>
    </w:p>
    <w:p>
      <w:pPr>
        <w:widowControl/>
        <w:jc w:val="left"/>
        <w:rPr>
          <w:sz w:val="28"/>
          <w:szCs w:val="28"/>
          <w:highlight w:val="none"/>
        </w:rPr>
      </w:pPr>
      <w:r>
        <w:rPr>
          <w:sz w:val="28"/>
          <w:szCs w:val="28"/>
          <w:highlight w:val="none"/>
        </w:rPr>
        <w:br w:type="page"/>
      </w:r>
      <w:bookmarkEnd w:id="166"/>
      <w:bookmarkEnd w:id="167"/>
    </w:p>
    <w:p>
      <w:pPr>
        <w:pStyle w:val="3"/>
        <w:numPr>
          <w:ilvl w:val="0"/>
          <w:numId w:val="0"/>
        </w:numPr>
        <w:rPr>
          <w:szCs w:val="28"/>
          <w:highlight w:val="none"/>
        </w:rPr>
      </w:pPr>
      <w:bookmarkStart w:id="168" w:name="_Toc15522"/>
      <w:bookmarkStart w:id="169" w:name="_Toc19519"/>
      <w:bookmarkStart w:id="170" w:name="_Toc14171"/>
      <w:bookmarkStart w:id="171" w:name="_Toc23371"/>
      <w:bookmarkStart w:id="172" w:name="_Toc31379"/>
      <w:bookmarkStart w:id="173" w:name="_Toc4173"/>
      <w:bookmarkStart w:id="174" w:name="_Toc21775"/>
      <w:bookmarkStart w:id="175" w:name="_Toc127449912"/>
      <w:r>
        <w:rPr>
          <w:rFonts w:hint="eastAsia"/>
          <w:szCs w:val="28"/>
          <w:highlight w:val="none"/>
        </w:rPr>
        <w:t>附件一：《理财产品申购赎回汇总》（表样）</w:t>
      </w:r>
      <w:bookmarkEnd w:id="168"/>
      <w:bookmarkEnd w:id="169"/>
      <w:bookmarkEnd w:id="170"/>
      <w:bookmarkEnd w:id="171"/>
      <w:bookmarkEnd w:id="172"/>
      <w:bookmarkEnd w:id="173"/>
      <w:bookmarkEnd w:id="174"/>
      <w:bookmarkEnd w:id="175"/>
    </w:p>
    <w:p>
      <w:pPr>
        <w:spacing w:line="360" w:lineRule="auto"/>
        <w:jc w:val="center"/>
        <w:rPr>
          <w:b/>
          <w:bCs/>
          <w:sz w:val="28"/>
          <w:szCs w:val="28"/>
          <w:highlight w:val="none"/>
        </w:rPr>
      </w:pPr>
      <w:r>
        <w:rPr>
          <w:rFonts w:hint="eastAsia"/>
          <w:b/>
          <w:bCs/>
          <w:sz w:val="28"/>
          <w:szCs w:val="28"/>
          <w:highlight w:val="none"/>
        </w:rPr>
        <w:t>理财产品申购赎回报表</w:t>
      </w:r>
    </w:p>
    <w:p>
      <w:pPr>
        <w:spacing w:line="360" w:lineRule="auto"/>
        <w:rPr>
          <w:szCs w:val="21"/>
          <w:highlight w:val="none"/>
        </w:rPr>
      </w:pPr>
      <w:r>
        <w:rPr>
          <w:rFonts w:hint="eastAsia"/>
          <w:szCs w:val="21"/>
          <w:highlight w:val="none"/>
        </w:rPr>
        <w:t>理财产品代码：          理财产品名称：                           币种：</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snapToGrid/>
              <w:rPr>
                <w:highlight w:val="none"/>
              </w:rPr>
            </w:pPr>
            <w:r>
              <w:rPr>
                <w:rFonts w:hint="eastAsia"/>
                <w:highlight w:val="none"/>
              </w:rPr>
              <w:t>确认日期</w:t>
            </w:r>
          </w:p>
        </w:tc>
        <w:tc>
          <w:tcPr>
            <w:tcW w:w="1217" w:type="dxa"/>
          </w:tcPr>
          <w:p>
            <w:pPr>
              <w:snapToGrid/>
              <w:rPr>
                <w:highlight w:val="none"/>
              </w:rPr>
            </w:pPr>
            <w:r>
              <w:rPr>
                <w:rFonts w:hint="eastAsia"/>
                <w:highlight w:val="none"/>
              </w:rPr>
              <w:t>申购金额</w:t>
            </w:r>
          </w:p>
        </w:tc>
        <w:tc>
          <w:tcPr>
            <w:tcW w:w="1217" w:type="dxa"/>
          </w:tcPr>
          <w:p>
            <w:pPr>
              <w:snapToGrid/>
              <w:rPr>
                <w:highlight w:val="none"/>
              </w:rPr>
            </w:pPr>
            <w:r>
              <w:rPr>
                <w:rFonts w:hint="eastAsia"/>
                <w:highlight w:val="none"/>
              </w:rPr>
              <w:t>申购份额</w:t>
            </w:r>
          </w:p>
        </w:tc>
        <w:tc>
          <w:tcPr>
            <w:tcW w:w="1217" w:type="dxa"/>
          </w:tcPr>
          <w:p>
            <w:pPr>
              <w:snapToGrid/>
              <w:rPr>
                <w:highlight w:val="none"/>
              </w:rPr>
            </w:pPr>
            <w:r>
              <w:rPr>
                <w:rFonts w:hint="eastAsia"/>
                <w:highlight w:val="none"/>
              </w:rPr>
              <w:t>申购手续费</w:t>
            </w:r>
          </w:p>
        </w:tc>
        <w:tc>
          <w:tcPr>
            <w:tcW w:w="1218" w:type="dxa"/>
          </w:tcPr>
          <w:p>
            <w:pPr>
              <w:snapToGrid/>
              <w:rPr>
                <w:highlight w:val="none"/>
              </w:rPr>
            </w:pPr>
            <w:r>
              <w:rPr>
                <w:rFonts w:hint="eastAsia"/>
                <w:highlight w:val="none"/>
              </w:rPr>
              <w:t>赎回金额</w:t>
            </w:r>
          </w:p>
        </w:tc>
        <w:tc>
          <w:tcPr>
            <w:tcW w:w="1218" w:type="dxa"/>
          </w:tcPr>
          <w:p>
            <w:pPr>
              <w:snapToGrid/>
              <w:rPr>
                <w:highlight w:val="none"/>
              </w:rPr>
            </w:pPr>
            <w:r>
              <w:rPr>
                <w:rFonts w:hint="eastAsia"/>
                <w:highlight w:val="none"/>
              </w:rPr>
              <w:t>赎回份额</w:t>
            </w:r>
          </w:p>
        </w:tc>
        <w:tc>
          <w:tcPr>
            <w:tcW w:w="1218" w:type="dxa"/>
          </w:tcPr>
          <w:p>
            <w:pPr>
              <w:snapToGrid/>
              <w:rPr>
                <w:highlight w:val="none"/>
              </w:rPr>
            </w:pPr>
            <w:r>
              <w:rPr>
                <w:rFonts w:hint="eastAsia"/>
                <w:highlight w:val="none"/>
              </w:rPr>
              <w:t>赎回手续费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snapToGrid/>
              <w:rPr>
                <w:highlight w:val="none"/>
              </w:rPr>
            </w:pPr>
          </w:p>
        </w:tc>
        <w:tc>
          <w:tcPr>
            <w:tcW w:w="1217" w:type="dxa"/>
          </w:tcPr>
          <w:p>
            <w:pPr>
              <w:rPr>
                <w:highlight w:val="none"/>
              </w:rPr>
            </w:pPr>
          </w:p>
        </w:tc>
        <w:tc>
          <w:tcPr>
            <w:tcW w:w="1217" w:type="dxa"/>
          </w:tcPr>
          <w:p>
            <w:pPr>
              <w:rPr>
                <w:highlight w:val="none"/>
              </w:rPr>
            </w:pPr>
          </w:p>
        </w:tc>
        <w:tc>
          <w:tcPr>
            <w:tcW w:w="1217" w:type="dxa"/>
          </w:tcPr>
          <w:p>
            <w:pPr>
              <w:rPr>
                <w:highlight w:val="none"/>
              </w:rPr>
            </w:pPr>
          </w:p>
        </w:tc>
        <w:tc>
          <w:tcPr>
            <w:tcW w:w="1218" w:type="dxa"/>
          </w:tcPr>
          <w:p>
            <w:pPr>
              <w:rPr>
                <w:highlight w:val="none"/>
              </w:rPr>
            </w:pPr>
          </w:p>
        </w:tc>
        <w:tc>
          <w:tcPr>
            <w:tcW w:w="1218" w:type="dxa"/>
          </w:tcPr>
          <w:p>
            <w:pPr>
              <w:rPr>
                <w:highlight w:val="none"/>
              </w:rPr>
            </w:pPr>
          </w:p>
        </w:tc>
        <w:tc>
          <w:tcPr>
            <w:tcW w:w="1218"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snapToGrid/>
              <w:rPr>
                <w:highlight w:val="none"/>
              </w:rPr>
            </w:pPr>
          </w:p>
        </w:tc>
        <w:tc>
          <w:tcPr>
            <w:tcW w:w="1217" w:type="dxa"/>
          </w:tcPr>
          <w:p>
            <w:pPr>
              <w:rPr>
                <w:highlight w:val="none"/>
              </w:rPr>
            </w:pPr>
          </w:p>
        </w:tc>
        <w:tc>
          <w:tcPr>
            <w:tcW w:w="1217" w:type="dxa"/>
          </w:tcPr>
          <w:p>
            <w:pPr>
              <w:rPr>
                <w:highlight w:val="none"/>
              </w:rPr>
            </w:pPr>
          </w:p>
        </w:tc>
        <w:tc>
          <w:tcPr>
            <w:tcW w:w="1217" w:type="dxa"/>
          </w:tcPr>
          <w:p>
            <w:pPr>
              <w:rPr>
                <w:highlight w:val="none"/>
              </w:rPr>
            </w:pPr>
          </w:p>
        </w:tc>
        <w:tc>
          <w:tcPr>
            <w:tcW w:w="1218" w:type="dxa"/>
          </w:tcPr>
          <w:p>
            <w:pPr>
              <w:rPr>
                <w:highlight w:val="none"/>
              </w:rPr>
            </w:pPr>
          </w:p>
        </w:tc>
        <w:tc>
          <w:tcPr>
            <w:tcW w:w="1218" w:type="dxa"/>
          </w:tcPr>
          <w:p>
            <w:pPr>
              <w:rPr>
                <w:highlight w:val="none"/>
              </w:rPr>
            </w:pPr>
          </w:p>
        </w:tc>
        <w:tc>
          <w:tcPr>
            <w:tcW w:w="1218"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snapToGrid/>
              <w:rPr>
                <w:highlight w:val="none"/>
              </w:rPr>
            </w:pPr>
          </w:p>
        </w:tc>
        <w:tc>
          <w:tcPr>
            <w:tcW w:w="1217" w:type="dxa"/>
          </w:tcPr>
          <w:p>
            <w:pPr>
              <w:rPr>
                <w:highlight w:val="none"/>
              </w:rPr>
            </w:pPr>
          </w:p>
        </w:tc>
        <w:tc>
          <w:tcPr>
            <w:tcW w:w="1217" w:type="dxa"/>
          </w:tcPr>
          <w:p>
            <w:pPr>
              <w:rPr>
                <w:highlight w:val="none"/>
              </w:rPr>
            </w:pPr>
          </w:p>
        </w:tc>
        <w:tc>
          <w:tcPr>
            <w:tcW w:w="1217" w:type="dxa"/>
          </w:tcPr>
          <w:p>
            <w:pPr>
              <w:rPr>
                <w:highlight w:val="none"/>
              </w:rPr>
            </w:pPr>
          </w:p>
        </w:tc>
        <w:tc>
          <w:tcPr>
            <w:tcW w:w="1218" w:type="dxa"/>
          </w:tcPr>
          <w:p>
            <w:pPr>
              <w:rPr>
                <w:highlight w:val="none"/>
              </w:rPr>
            </w:pPr>
          </w:p>
        </w:tc>
        <w:tc>
          <w:tcPr>
            <w:tcW w:w="1218" w:type="dxa"/>
          </w:tcPr>
          <w:p>
            <w:pPr>
              <w:rPr>
                <w:highlight w:val="none"/>
              </w:rPr>
            </w:pPr>
          </w:p>
        </w:tc>
        <w:tc>
          <w:tcPr>
            <w:tcW w:w="1218" w:type="dxa"/>
          </w:tcPr>
          <w:p>
            <w:pPr>
              <w:rPr>
                <w:highlight w:val="none"/>
              </w:rPr>
            </w:pPr>
          </w:p>
        </w:tc>
      </w:tr>
    </w:tbl>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360" w:lineRule="auto"/>
        <w:jc w:val="center"/>
        <w:rPr>
          <w:sz w:val="24"/>
          <w:highlight w:val="none"/>
        </w:rPr>
      </w:pPr>
      <w:r>
        <w:rPr>
          <w:rFonts w:hint="eastAsia"/>
          <w:sz w:val="24"/>
          <w:highlight w:val="none"/>
        </w:rPr>
        <w:t xml:space="preserve">                                         管理人：恒丰理财有限责任公司</w:t>
      </w:r>
    </w:p>
    <w:p>
      <w:pPr>
        <w:spacing w:line="360" w:lineRule="auto"/>
        <w:jc w:val="right"/>
        <w:rPr>
          <w:sz w:val="24"/>
          <w:highlight w:val="none"/>
        </w:rPr>
      </w:pPr>
    </w:p>
    <w:p>
      <w:pPr>
        <w:spacing w:line="360" w:lineRule="auto"/>
        <w:jc w:val="right"/>
        <w:rPr>
          <w:sz w:val="24"/>
          <w:highlight w:val="none"/>
        </w:rPr>
      </w:pPr>
    </w:p>
    <w:p>
      <w:pPr>
        <w:spacing w:line="360" w:lineRule="auto"/>
        <w:jc w:val="right"/>
        <w:rPr>
          <w:sz w:val="24"/>
          <w:highlight w:val="none"/>
        </w:rPr>
      </w:pPr>
      <w:r>
        <w:rPr>
          <w:rFonts w:hint="eastAsia"/>
          <w:sz w:val="24"/>
          <w:highlight w:val="none"/>
        </w:rPr>
        <w:t xml:space="preserve">    年    月    日</w:t>
      </w:r>
    </w:p>
    <w:p>
      <w:pPr>
        <w:widowControl/>
        <w:jc w:val="left"/>
        <w:rPr>
          <w:highlight w:val="none"/>
        </w:rPr>
      </w:pPr>
      <w:r>
        <w:rPr>
          <w:highlight w:val="none"/>
        </w:rPr>
        <w:br w:type="page"/>
      </w:r>
    </w:p>
    <w:p>
      <w:pPr>
        <w:pStyle w:val="3"/>
        <w:numPr>
          <w:ilvl w:val="0"/>
          <w:numId w:val="0"/>
        </w:numPr>
        <w:rPr>
          <w:szCs w:val="28"/>
          <w:highlight w:val="none"/>
        </w:rPr>
      </w:pPr>
      <w:bookmarkStart w:id="176" w:name="_Toc12558"/>
      <w:bookmarkStart w:id="177" w:name="_Toc17471"/>
      <w:bookmarkStart w:id="178" w:name="_Toc17996"/>
      <w:bookmarkStart w:id="179" w:name="_Toc22965"/>
      <w:bookmarkStart w:id="180" w:name="_Toc25815"/>
      <w:bookmarkStart w:id="181" w:name="_Toc21072"/>
      <w:bookmarkStart w:id="182" w:name="_Toc17988"/>
      <w:bookmarkStart w:id="183" w:name="_Toc127449913"/>
      <w:r>
        <w:rPr>
          <w:rFonts w:hint="eastAsia"/>
          <w:szCs w:val="28"/>
          <w:highlight w:val="none"/>
        </w:rPr>
        <w:t>附件二：划款指令（样本）</w:t>
      </w:r>
      <w:bookmarkEnd w:id="176"/>
      <w:bookmarkEnd w:id="177"/>
      <w:bookmarkEnd w:id="178"/>
      <w:bookmarkEnd w:id="179"/>
      <w:bookmarkEnd w:id="180"/>
      <w:bookmarkEnd w:id="181"/>
      <w:bookmarkEnd w:id="182"/>
      <w:bookmarkEnd w:id="183"/>
    </w:p>
    <w:p>
      <w:pPr>
        <w:spacing w:before="60" w:after="60" w:line="360" w:lineRule="atLeast"/>
        <w:jc w:val="center"/>
        <w:rPr>
          <w:rFonts w:ascii="仿宋_GB2312" w:hAnsi="宋体" w:eastAsia="仿宋_GB2312"/>
          <w:b/>
          <w:bCs/>
          <w:sz w:val="24"/>
          <w:highlight w:val="none"/>
        </w:rPr>
      </w:pPr>
      <w:r>
        <w:rPr>
          <w:rFonts w:hint="eastAsia" w:ascii="仿宋_GB2312" w:hAnsi="宋体" w:eastAsia="仿宋_GB2312"/>
          <w:b/>
          <w:bCs/>
          <w:sz w:val="24"/>
          <w:highlight w:val="none"/>
        </w:rPr>
        <w:t>恒丰理财理财产品划款指令（参考样式）</w:t>
      </w:r>
    </w:p>
    <w:p>
      <w:pPr>
        <w:spacing w:before="100" w:after="100" w:line="360" w:lineRule="atLeast"/>
        <w:rPr>
          <w:rFonts w:ascii="仿宋_GB2312" w:hAnsi="宋体" w:eastAsia="仿宋_GB2312"/>
          <w:highlight w:val="none"/>
        </w:rPr>
      </w:pPr>
      <w:r>
        <w:rPr>
          <w:rFonts w:hint="eastAsia" w:ascii="仿宋_GB2312" w:hAnsi="宋体" w:eastAsia="仿宋_GB2312"/>
          <w:highlight w:val="none"/>
        </w:rPr>
        <w:t xml:space="preserve">                                                   日期：    年   月    日               </w:t>
      </w:r>
    </w:p>
    <w:tbl>
      <w:tblPr>
        <w:tblStyle w:val="31"/>
        <w:tblW w:w="850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90" w:type="dxa"/>
            <w:tcBorders>
              <w:top w:val="single" w:color="auto" w:sz="4" w:space="0"/>
              <w:left w:val="single" w:color="auto" w:sz="4" w:space="0"/>
              <w:bottom w:val="single" w:color="auto" w:sz="4" w:space="0"/>
              <w:right w:val="single" w:color="auto" w:sz="4" w:space="0"/>
            </w:tcBorders>
          </w:tcPr>
          <w:p>
            <w:pPr>
              <w:spacing w:before="100" w:after="100" w:line="360" w:lineRule="atLeast"/>
              <w:rPr>
                <w:rFonts w:ascii="仿宋_GB2312" w:hAnsi="宋体" w:eastAsia="仿宋_GB2312"/>
                <w:highlight w:val="none"/>
              </w:rPr>
            </w:pPr>
            <w:r>
              <w:rPr>
                <w:rFonts w:hint="eastAsia" w:ascii="仿宋_GB2312" w:hAnsi="宋体" w:eastAsia="仿宋_GB2312"/>
                <w:highlight w:val="none"/>
              </w:rPr>
              <w:t xml:space="preserve">付款户名： </w:t>
            </w:r>
          </w:p>
        </w:tc>
        <w:tc>
          <w:tcPr>
            <w:tcW w:w="4515" w:type="dxa"/>
            <w:tcBorders>
              <w:top w:val="single" w:color="auto" w:sz="4" w:space="0"/>
              <w:left w:val="single" w:color="auto" w:sz="4" w:space="0"/>
              <w:bottom w:val="single" w:color="auto" w:sz="4" w:space="0"/>
              <w:right w:val="single" w:color="auto" w:sz="4" w:space="0"/>
            </w:tcBorders>
          </w:tcPr>
          <w:p>
            <w:pPr>
              <w:spacing w:before="100" w:after="100" w:line="360" w:lineRule="atLeast"/>
              <w:rPr>
                <w:rFonts w:ascii="仿宋_GB2312" w:hAnsi="宋体" w:eastAsia="仿宋_GB2312"/>
                <w:highlight w:val="none"/>
              </w:rPr>
            </w:pPr>
            <w:r>
              <w:rPr>
                <w:rFonts w:hint="eastAsia" w:ascii="仿宋_GB2312" w:hAnsi="宋体" w:eastAsia="仿宋_GB2312"/>
                <w:highlight w:val="none"/>
              </w:rPr>
              <w:t>收款户名：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90" w:type="dxa"/>
            <w:tcBorders>
              <w:top w:val="single" w:color="auto" w:sz="4" w:space="0"/>
              <w:left w:val="single" w:color="auto" w:sz="4" w:space="0"/>
              <w:bottom w:val="single" w:color="auto" w:sz="4" w:space="0"/>
              <w:right w:val="single" w:color="auto" w:sz="4" w:space="0"/>
            </w:tcBorders>
          </w:tcPr>
          <w:p>
            <w:pPr>
              <w:spacing w:before="100" w:after="100" w:line="360" w:lineRule="atLeast"/>
              <w:rPr>
                <w:rFonts w:ascii="仿宋_GB2312" w:hAnsi="宋体" w:eastAsia="仿宋_GB2312"/>
                <w:highlight w:val="none"/>
              </w:rPr>
            </w:pPr>
            <w:r>
              <w:rPr>
                <w:rFonts w:hint="eastAsia" w:ascii="仿宋_GB2312" w:hAnsi="宋体" w:eastAsia="仿宋_GB2312"/>
                <w:highlight w:val="none"/>
              </w:rPr>
              <w:t>付款账号：</w:t>
            </w:r>
          </w:p>
        </w:tc>
        <w:tc>
          <w:tcPr>
            <w:tcW w:w="4515" w:type="dxa"/>
            <w:tcBorders>
              <w:top w:val="single" w:color="auto" w:sz="4" w:space="0"/>
              <w:left w:val="single" w:color="auto" w:sz="4" w:space="0"/>
              <w:bottom w:val="single" w:color="auto" w:sz="4" w:space="0"/>
              <w:right w:val="single" w:color="auto" w:sz="4" w:space="0"/>
            </w:tcBorders>
          </w:tcPr>
          <w:p>
            <w:pPr>
              <w:spacing w:before="100" w:after="100" w:line="360" w:lineRule="atLeast"/>
              <w:rPr>
                <w:rFonts w:ascii="仿宋_GB2312" w:hAnsi="宋体" w:eastAsia="仿宋_GB2312"/>
                <w:highlight w:val="none"/>
              </w:rPr>
            </w:pPr>
            <w:r>
              <w:rPr>
                <w:rFonts w:hint="eastAsia" w:ascii="仿宋_GB2312" w:hAnsi="宋体" w:eastAsia="仿宋_GB2312"/>
                <w:highlight w:val="none"/>
              </w:rPr>
              <w:t>收款账号：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90" w:type="dxa"/>
            <w:vMerge w:val="restart"/>
            <w:tcBorders>
              <w:top w:val="single" w:color="auto" w:sz="4" w:space="0"/>
              <w:left w:val="single" w:color="auto" w:sz="4" w:space="0"/>
              <w:right w:val="single" w:color="auto" w:sz="4" w:space="0"/>
            </w:tcBorders>
          </w:tcPr>
          <w:p>
            <w:pPr>
              <w:spacing w:before="100" w:after="100" w:line="360" w:lineRule="atLeast"/>
              <w:rPr>
                <w:rFonts w:ascii="仿宋_GB2312" w:hAnsi="宋体" w:eastAsia="仿宋_GB2312"/>
                <w:highlight w:val="none"/>
              </w:rPr>
            </w:pPr>
            <w:r>
              <w:rPr>
                <w:rFonts w:hint="eastAsia" w:ascii="仿宋_GB2312" w:hAnsi="宋体" w:eastAsia="仿宋_GB2312"/>
                <w:highlight w:val="none"/>
              </w:rPr>
              <w:t xml:space="preserve">开户行： </w:t>
            </w:r>
          </w:p>
        </w:tc>
        <w:tc>
          <w:tcPr>
            <w:tcW w:w="4515" w:type="dxa"/>
            <w:tcBorders>
              <w:top w:val="single" w:color="auto" w:sz="4" w:space="0"/>
              <w:left w:val="single" w:color="auto" w:sz="4" w:space="0"/>
              <w:bottom w:val="single" w:color="auto" w:sz="4" w:space="0"/>
              <w:right w:val="single" w:color="auto" w:sz="4" w:space="0"/>
            </w:tcBorders>
          </w:tcPr>
          <w:p>
            <w:pPr>
              <w:spacing w:before="100" w:after="100" w:line="360" w:lineRule="atLeast"/>
              <w:rPr>
                <w:rFonts w:ascii="仿宋_GB2312" w:hAnsi="宋体" w:eastAsia="仿宋_GB2312"/>
                <w:highlight w:val="none"/>
              </w:rPr>
            </w:pPr>
            <w:r>
              <w:rPr>
                <w:rFonts w:hint="eastAsia" w:ascii="仿宋_GB2312" w:hAnsi="宋体" w:eastAsia="仿宋_GB2312"/>
                <w:highlight w:val="none"/>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90" w:type="dxa"/>
            <w:vMerge w:val="continue"/>
            <w:tcBorders>
              <w:left w:val="single" w:color="auto" w:sz="4" w:space="0"/>
              <w:bottom w:val="single" w:color="auto" w:sz="4" w:space="0"/>
              <w:right w:val="single" w:color="auto" w:sz="4" w:space="0"/>
            </w:tcBorders>
          </w:tcPr>
          <w:p>
            <w:pPr>
              <w:spacing w:before="100" w:after="100" w:line="360" w:lineRule="atLeast"/>
              <w:rPr>
                <w:rFonts w:ascii="仿宋_GB2312" w:hAnsi="宋体" w:eastAsia="仿宋_GB2312"/>
                <w:highlight w:val="none"/>
              </w:rPr>
            </w:pPr>
          </w:p>
        </w:tc>
        <w:tc>
          <w:tcPr>
            <w:tcW w:w="4515" w:type="dxa"/>
            <w:tcBorders>
              <w:top w:val="single" w:color="auto" w:sz="4" w:space="0"/>
              <w:left w:val="single" w:color="auto" w:sz="4" w:space="0"/>
              <w:bottom w:val="single" w:color="auto" w:sz="4" w:space="0"/>
              <w:right w:val="single" w:color="auto" w:sz="4" w:space="0"/>
            </w:tcBorders>
          </w:tcPr>
          <w:p>
            <w:pPr>
              <w:spacing w:before="100" w:after="100" w:line="360" w:lineRule="atLeast"/>
              <w:rPr>
                <w:rFonts w:ascii="仿宋_GB2312" w:hAnsi="宋体" w:eastAsia="仿宋_GB2312"/>
                <w:highlight w:val="none"/>
              </w:rPr>
            </w:pPr>
            <w:r>
              <w:rPr>
                <w:rFonts w:hint="eastAsia" w:ascii="仿宋_GB2312" w:hAnsi="宋体" w:eastAsia="仿宋_GB2312"/>
                <w:highlight w:val="none"/>
              </w:rPr>
              <w:t>大额系统支付号：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90" w:type="dxa"/>
            <w:tcBorders>
              <w:top w:val="single" w:color="auto" w:sz="4" w:space="0"/>
              <w:left w:val="single" w:color="auto" w:sz="4" w:space="0"/>
              <w:bottom w:val="single" w:color="auto" w:sz="4" w:space="0"/>
              <w:right w:val="single" w:color="auto" w:sz="4" w:space="0"/>
            </w:tcBorders>
          </w:tcPr>
          <w:p>
            <w:pPr>
              <w:spacing w:before="100" w:after="100" w:line="360" w:lineRule="atLeast"/>
              <w:rPr>
                <w:rFonts w:ascii="仿宋_GB2312" w:hAnsi="宋体" w:eastAsia="仿宋_GB2312"/>
                <w:highlight w:val="none"/>
              </w:rPr>
            </w:pPr>
            <w:r>
              <w:rPr>
                <w:rFonts w:hint="eastAsia" w:ascii="仿宋_GB2312" w:hAnsi="宋体" w:eastAsia="仿宋_GB2312"/>
                <w:highlight w:val="none"/>
              </w:rPr>
              <w:t>大写金额：</w:t>
            </w:r>
          </w:p>
        </w:tc>
        <w:tc>
          <w:tcPr>
            <w:tcW w:w="4515" w:type="dxa"/>
            <w:tcBorders>
              <w:top w:val="single" w:color="auto" w:sz="4" w:space="0"/>
              <w:left w:val="single" w:color="auto" w:sz="4" w:space="0"/>
              <w:bottom w:val="single" w:color="auto" w:sz="4" w:space="0"/>
              <w:right w:val="single" w:color="auto" w:sz="4" w:space="0"/>
            </w:tcBorders>
          </w:tcPr>
          <w:p>
            <w:pPr>
              <w:spacing w:before="100" w:after="100" w:line="360" w:lineRule="atLeast"/>
              <w:rPr>
                <w:rFonts w:ascii="仿宋_GB2312" w:hAnsi="宋体" w:eastAsia="仿宋_GB2312"/>
                <w:highlight w:val="none"/>
              </w:rPr>
            </w:pPr>
            <w:r>
              <w:rPr>
                <w:rFonts w:hint="eastAsia" w:ascii="仿宋_GB2312" w:hAnsi="宋体" w:eastAsia="仿宋_GB2312"/>
                <w:highlight w:val="none"/>
              </w:rPr>
              <w:t>小写金额（单位：元）：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3990" w:type="dxa"/>
            <w:tcBorders>
              <w:top w:val="single" w:color="auto" w:sz="4" w:space="0"/>
              <w:left w:val="single" w:color="auto" w:sz="4" w:space="0"/>
              <w:bottom w:val="single" w:color="auto" w:sz="4" w:space="0"/>
              <w:right w:val="single" w:color="auto" w:sz="4" w:space="0"/>
            </w:tcBorders>
          </w:tcPr>
          <w:p>
            <w:pPr>
              <w:spacing w:before="100" w:after="100" w:line="360" w:lineRule="atLeast"/>
              <w:rPr>
                <w:rFonts w:ascii="仿宋_GB2312" w:hAnsi="宋体" w:eastAsia="仿宋_GB2312"/>
                <w:highlight w:val="none"/>
              </w:rPr>
            </w:pPr>
            <w:r>
              <w:rPr>
                <w:rFonts w:hint="eastAsia" w:ascii="仿宋_GB2312" w:hAnsi="宋体" w:eastAsia="仿宋_GB2312"/>
                <w:highlight w:val="none"/>
              </w:rPr>
              <w:t>资金用途：</w:t>
            </w:r>
          </w:p>
          <w:p>
            <w:pPr>
              <w:spacing w:before="100" w:after="100" w:line="360" w:lineRule="atLeast"/>
              <w:rPr>
                <w:rFonts w:ascii="仿宋_GB2312" w:hAnsi="宋体" w:eastAsia="仿宋_GB2312"/>
                <w:highlight w:val="none"/>
              </w:rPr>
            </w:pPr>
          </w:p>
        </w:tc>
        <w:tc>
          <w:tcPr>
            <w:tcW w:w="4515" w:type="dxa"/>
            <w:tcBorders>
              <w:top w:val="single" w:color="auto" w:sz="4" w:space="0"/>
              <w:left w:val="single" w:color="auto" w:sz="4" w:space="0"/>
              <w:bottom w:val="single" w:color="auto" w:sz="4" w:space="0"/>
              <w:right w:val="single" w:color="auto" w:sz="4" w:space="0"/>
            </w:tcBorders>
          </w:tcPr>
          <w:p>
            <w:pPr>
              <w:spacing w:before="100" w:after="100" w:line="360" w:lineRule="atLeast"/>
              <w:rPr>
                <w:rFonts w:ascii="仿宋_GB2312" w:hAnsi="宋体" w:eastAsia="仿宋_GB2312"/>
                <w:highlight w:val="none"/>
              </w:rPr>
            </w:pPr>
            <w:r>
              <w:rPr>
                <w:rFonts w:hint="eastAsia" w:ascii="仿宋_GB2312" w:hAnsi="宋体" w:eastAsia="仿宋_GB2312"/>
                <w:highlight w:val="none"/>
              </w:rPr>
              <w:t>用款依据：</w:t>
            </w:r>
          </w:p>
          <w:p>
            <w:pPr>
              <w:spacing w:before="100" w:after="100" w:line="360" w:lineRule="atLeast"/>
              <w:rPr>
                <w:rFonts w:ascii="仿宋_GB2312" w:hAnsi="宋体"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3990" w:type="dxa"/>
            <w:tcBorders>
              <w:top w:val="single" w:color="auto" w:sz="4" w:space="0"/>
              <w:left w:val="single" w:color="auto" w:sz="4" w:space="0"/>
              <w:bottom w:val="single" w:color="auto" w:sz="4" w:space="0"/>
              <w:right w:val="single" w:color="auto" w:sz="4" w:space="0"/>
            </w:tcBorders>
          </w:tcPr>
          <w:p>
            <w:pPr>
              <w:spacing w:before="100" w:after="100" w:line="360" w:lineRule="atLeast"/>
              <w:rPr>
                <w:rFonts w:ascii="仿宋_GB2312" w:hAnsi="宋体" w:eastAsia="仿宋_GB2312"/>
                <w:highlight w:val="none"/>
              </w:rPr>
            </w:pPr>
            <w:r>
              <w:rPr>
                <w:rFonts w:hint="eastAsia" w:ascii="仿宋_GB2312" w:hAnsi="宋体" w:eastAsia="仿宋_GB2312"/>
                <w:highlight w:val="none"/>
              </w:rPr>
              <w:t>管理人经办人：</w:t>
            </w:r>
          </w:p>
          <w:p>
            <w:pPr>
              <w:spacing w:before="100" w:after="100" w:line="360" w:lineRule="atLeast"/>
              <w:rPr>
                <w:rFonts w:ascii="仿宋_GB2312" w:hAnsi="宋体" w:eastAsia="仿宋_GB2312"/>
                <w:highlight w:val="none"/>
              </w:rPr>
            </w:pPr>
          </w:p>
          <w:p>
            <w:pPr>
              <w:spacing w:before="100" w:after="100" w:line="360" w:lineRule="atLeast"/>
              <w:rPr>
                <w:rFonts w:ascii="仿宋_GB2312" w:hAnsi="宋体" w:eastAsia="仿宋_GB2312"/>
                <w:highlight w:val="none"/>
              </w:rPr>
            </w:pPr>
          </w:p>
          <w:p>
            <w:pPr>
              <w:spacing w:before="100" w:after="100" w:line="360" w:lineRule="atLeast"/>
              <w:rPr>
                <w:rFonts w:ascii="仿宋_GB2312" w:hAnsi="宋体" w:eastAsia="仿宋_GB2312"/>
                <w:highlight w:val="none"/>
              </w:rPr>
            </w:pPr>
            <w:r>
              <w:rPr>
                <w:rFonts w:hint="eastAsia" w:ascii="仿宋_GB2312" w:hAnsi="宋体" w:eastAsia="仿宋_GB2312"/>
                <w:highlight w:val="none"/>
              </w:rPr>
              <w:t>管理人复核人：</w:t>
            </w:r>
          </w:p>
          <w:p>
            <w:pPr>
              <w:spacing w:before="100" w:after="100" w:line="360" w:lineRule="atLeast"/>
              <w:rPr>
                <w:rFonts w:ascii="仿宋_GB2312" w:hAnsi="宋体" w:eastAsia="仿宋_GB2312"/>
                <w:highlight w:val="none"/>
              </w:rPr>
            </w:pPr>
          </w:p>
          <w:p>
            <w:pPr>
              <w:spacing w:before="100" w:after="100" w:line="360" w:lineRule="atLeast"/>
              <w:rPr>
                <w:rFonts w:ascii="仿宋_GB2312" w:hAnsi="宋体" w:eastAsia="仿宋_GB2312"/>
                <w:highlight w:val="none"/>
              </w:rPr>
            </w:pPr>
          </w:p>
          <w:p>
            <w:pPr>
              <w:spacing w:before="100" w:after="100" w:line="360" w:lineRule="atLeast"/>
              <w:rPr>
                <w:rFonts w:ascii="仿宋_GB2312" w:hAnsi="宋体" w:eastAsia="仿宋_GB2312"/>
                <w:highlight w:val="none"/>
              </w:rPr>
            </w:pPr>
            <w:r>
              <w:rPr>
                <w:rFonts w:hint="eastAsia" w:ascii="仿宋_GB2312" w:hAnsi="宋体" w:eastAsia="仿宋_GB2312"/>
                <w:highlight w:val="none"/>
              </w:rPr>
              <w:t>管理人签发人：</w:t>
            </w:r>
          </w:p>
          <w:p>
            <w:pPr>
              <w:spacing w:before="100" w:after="100" w:line="360" w:lineRule="atLeast"/>
              <w:rPr>
                <w:rFonts w:ascii="仿宋_GB2312" w:hAnsi="宋体" w:eastAsia="仿宋_GB2312"/>
                <w:highlight w:val="none"/>
              </w:rPr>
            </w:pPr>
          </w:p>
          <w:p>
            <w:pPr>
              <w:spacing w:before="100" w:after="100" w:line="360" w:lineRule="atLeast"/>
              <w:rPr>
                <w:rFonts w:ascii="仿宋_GB2312" w:hAnsi="宋体" w:eastAsia="仿宋_GB2312"/>
                <w:highlight w:val="none"/>
              </w:rPr>
            </w:pPr>
          </w:p>
          <w:p>
            <w:pPr>
              <w:spacing w:before="100" w:after="100" w:line="360" w:lineRule="atLeast"/>
              <w:rPr>
                <w:rFonts w:ascii="仿宋_GB2312" w:hAnsi="宋体" w:eastAsia="仿宋_GB2312"/>
                <w:highlight w:val="none"/>
              </w:rPr>
            </w:pPr>
            <w:r>
              <w:rPr>
                <w:rFonts w:hint="eastAsia" w:ascii="仿宋_GB2312" w:hAnsi="宋体" w:eastAsia="仿宋_GB2312"/>
                <w:highlight w:val="none"/>
              </w:rPr>
              <w:t>管理人预留印鉴盖章处：</w:t>
            </w:r>
          </w:p>
          <w:p>
            <w:pPr>
              <w:spacing w:before="100" w:after="100" w:line="360" w:lineRule="atLeast"/>
              <w:rPr>
                <w:rFonts w:ascii="仿宋_GB2312" w:hAnsi="宋体" w:eastAsia="仿宋_GB2312"/>
                <w:highlight w:val="none"/>
              </w:rPr>
            </w:pPr>
          </w:p>
          <w:p>
            <w:pPr>
              <w:spacing w:before="100" w:after="100" w:line="360" w:lineRule="atLeast"/>
              <w:rPr>
                <w:rFonts w:ascii="仿宋_GB2312" w:hAnsi="宋体" w:eastAsia="仿宋_GB2312"/>
                <w:highlight w:val="none"/>
              </w:rPr>
            </w:pPr>
          </w:p>
          <w:p>
            <w:pPr>
              <w:spacing w:before="100" w:after="100" w:line="360" w:lineRule="atLeast"/>
              <w:rPr>
                <w:rFonts w:ascii="仿宋_GB2312" w:hAnsi="宋体" w:eastAsia="仿宋_GB2312"/>
                <w:highlight w:val="none"/>
              </w:rPr>
            </w:pPr>
          </w:p>
        </w:tc>
        <w:tc>
          <w:tcPr>
            <w:tcW w:w="4515" w:type="dxa"/>
            <w:tcBorders>
              <w:top w:val="single" w:color="auto" w:sz="4" w:space="0"/>
              <w:left w:val="single" w:color="auto" w:sz="4" w:space="0"/>
              <w:bottom w:val="single" w:color="auto" w:sz="4" w:space="0"/>
              <w:right w:val="single" w:color="auto" w:sz="4" w:space="0"/>
            </w:tcBorders>
          </w:tcPr>
          <w:p>
            <w:pPr>
              <w:spacing w:before="100" w:after="100" w:line="360" w:lineRule="atLeast"/>
              <w:rPr>
                <w:rFonts w:ascii="仿宋_GB2312" w:hAnsi="宋体" w:eastAsia="仿宋_GB2312"/>
                <w:highlight w:val="none"/>
              </w:rPr>
            </w:pPr>
            <w:r>
              <w:rPr>
                <w:rFonts w:hint="eastAsia" w:ascii="仿宋_GB2312" w:hAnsi="宋体" w:eastAsia="仿宋_GB2312"/>
                <w:highlight w:val="none"/>
              </w:rPr>
              <w:t>托管人经办人：</w:t>
            </w:r>
          </w:p>
          <w:p>
            <w:pPr>
              <w:spacing w:before="100" w:after="100" w:line="360" w:lineRule="atLeast"/>
              <w:rPr>
                <w:rFonts w:ascii="仿宋_GB2312" w:hAnsi="宋体" w:eastAsia="仿宋_GB2312"/>
                <w:highlight w:val="none"/>
              </w:rPr>
            </w:pPr>
          </w:p>
          <w:p>
            <w:pPr>
              <w:spacing w:before="100" w:after="100" w:line="360" w:lineRule="atLeast"/>
              <w:rPr>
                <w:rFonts w:ascii="仿宋_GB2312" w:hAnsi="宋体" w:eastAsia="仿宋_GB2312"/>
                <w:highlight w:val="none"/>
              </w:rPr>
            </w:pPr>
          </w:p>
          <w:p>
            <w:pPr>
              <w:spacing w:before="100" w:after="100" w:line="360" w:lineRule="atLeast"/>
              <w:rPr>
                <w:rFonts w:ascii="仿宋_GB2312" w:hAnsi="宋体" w:eastAsia="仿宋_GB2312"/>
                <w:highlight w:val="none"/>
              </w:rPr>
            </w:pPr>
            <w:r>
              <w:rPr>
                <w:rFonts w:hint="eastAsia" w:ascii="仿宋_GB2312" w:hAnsi="宋体" w:eastAsia="仿宋_GB2312"/>
                <w:highlight w:val="none"/>
              </w:rPr>
              <w:t>托管人复核人：</w:t>
            </w:r>
          </w:p>
          <w:p>
            <w:pPr>
              <w:spacing w:before="100" w:after="100" w:line="360" w:lineRule="atLeast"/>
              <w:rPr>
                <w:rFonts w:ascii="仿宋_GB2312" w:hAnsi="宋体" w:eastAsia="仿宋_GB2312"/>
                <w:highlight w:val="none"/>
              </w:rPr>
            </w:pPr>
          </w:p>
          <w:p>
            <w:pPr>
              <w:spacing w:before="100" w:after="100" w:line="360" w:lineRule="atLeast"/>
              <w:rPr>
                <w:rFonts w:ascii="仿宋_GB2312" w:hAnsi="宋体" w:eastAsia="仿宋_GB2312"/>
                <w:highlight w:val="none"/>
              </w:rPr>
            </w:pPr>
          </w:p>
          <w:p>
            <w:pPr>
              <w:spacing w:before="100" w:after="100" w:line="360" w:lineRule="atLeast"/>
              <w:rPr>
                <w:rFonts w:ascii="仿宋_GB2312" w:hAnsi="宋体" w:eastAsia="仿宋_GB2312"/>
                <w:highlight w:val="none"/>
              </w:rPr>
            </w:pPr>
            <w:r>
              <w:rPr>
                <w:rFonts w:hint="eastAsia" w:ascii="仿宋_GB2312" w:hAnsi="宋体" w:eastAsia="仿宋_GB2312"/>
                <w:highlight w:val="none"/>
              </w:rPr>
              <w:t>托管人审批人：</w:t>
            </w:r>
          </w:p>
          <w:p>
            <w:pPr>
              <w:spacing w:before="100" w:after="100" w:line="360" w:lineRule="atLeast"/>
              <w:rPr>
                <w:rFonts w:ascii="仿宋_GB2312" w:hAnsi="宋体" w:eastAsia="仿宋_GB2312"/>
                <w:highlight w:val="none"/>
              </w:rPr>
            </w:pPr>
          </w:p>
          <w:p>
            <w:pPr>
              <w:spacing w:before="100" w:after="100" w:line="360" w:lineRule="atLeast"/>
              <w:rPr>
                <w:rFonts w:ascii="仿宋_GB2312" w:hAnsi="宋体" w:eastAsia="仿宋_GB2312"/>
                <w:highlight w:val="none"/>
              </w:rPr>
            </w:pPr>
          </w:p>
          <w:p>
            <w:pPr>
              <w:spacing w:before="100" w:after="100" w:line="360" w:lineRule="atLeast"/>
              <w:rPr>
                <w:rFonts w:ascii="仿宋_GB2312" w:hAnsi="宋体" w:eastAsia="仿宋_GB2312"/>
                <w:highlight w:val="none"/>
              </w:rPr>
            </w:pPr>
          </w:p>
          <w:p>
            <w:pPr>
              <w:spacing w:before="100" w:after="100" w:line="360" w:lineRule="atLeast"/>
              <w:rPr>
                <w:rFonts w:ascii="仿宋_GB2312" w:hAnsi="宋体" w:eastAsia="仿宋_GB2312"/>
                <w:highlight w:val="none"/>
              </w:rPr>
            </w:pPr>
          </w:p>
          <w:p>
            <w:pPr>
              <w:spacing w:before="100" w:after="100" w:line="360" w:lineRule="atLeast"/>
              <w:rPr>
                <w:rFonts w:ascii="仿宋_GB2312" w:hAnsi="宋体" w:eastAsia="仿宋_GB2312"/>
                <w:highlight w:val="none"/>
              </w:rPr>
            </w:pPr>
          </w:p>
        </w:tc>
      </w:tr>
    </w:tbl>
    <w:p>
      <w:pPr>
        <w:rPr>
          <w:highlight w:val="none"/>
        </w:rPr>
      </w:pPr>
    </w:p>
    <w:p>
      <w:pPr>
        <w:rPr>
          <w:highlight w:val="none"/>
        </w:rPr>
      </w:pPr>
    </w:p>
    <w:p>
      <w:pPr>
        <w:pStyle w:val="6"/>
        <w:ind w:firstLine="420"/>
        <w:rPr>
          <w:highlight w:val="none"/>
        </w:rPr>
      </w:pPr>
    </w:p>
    <w:p>
      <w:pPr>
        <w:spacing w:line="360" w:lineRule="auto"/>
        <w:rPr>
          <w:sz w:val="24"/>
          <w:highlight w:val="none"/>
        </w:rPr>
      </w:pPr>
    </w:p>
    <w:p>
      <w:pPr>
        <w:pStyle w:val="3"/>
        <w:numPr>
          <w:ilvl w:val="0"/>
          <w:numId w:val="0"/>
        </w:numPr>
        <w:rPr>
          <w:szCs w:val="28"/>
          <w:highlight w:val="none"/>
        </w:rPr>
      </w:pPr>
      <w:bookmarkStart w:id="184" w:name="_Toc127449914"/>
      <w:bookmarkStart w:id="185" w:name="_Toc16568"/>
      <w:bookmarkStart w:id="186" w:name="_Toc2990"/>
      <w:bookmarkStart w:id="187" w:name="_Toc28173"/>
      <w:bookmarkStart w:id="188" w:name="_Toc26731"/>
      <w:bookmarkStart w:id="189" w:name="_Toc6300"/>
      <w:bookmarkStart w:id="190" w:name="_Toc6477"/>
      <w:bookmarkStart w:id="191" w:name="_Toc6691"/>
      <w:r>
        <w:rPr>
          <w:rFonts w:hint="eastAsia"/>
          <w:szCs w:val="28"/>
          <w:highlight w:val="none"/>
        </w:rPr>
        <w:t>附件三：理财产品资金托管起始运作通知书（样本）</w:t>
      </w:r>
      <w:bookmarkEnd w:id="184"/>
      <w:bookmarkEnd w:id="185"/>
      <w:bookmarkEnd w:id="186"/>
      <w:bookmarkEnd w:id="187"/>
      <w:bookmarkEnd w:id="188"/>
      <w:bookmarkEnd w:id="189"/>
      <w:bookmarkEnd w:id="190"/>
      <w:bookmarkEnd w:id="191"/>
    </w:p>
    <w:p>
      <w:pPr>
        <w:jc w:val="center"/>
        <w:rPr>
          <w:b/>
          <w:bCs/>
          <w:sz w:val="28"/>
          <w:szCs w:val="28"/>
          <w:highlight w:val="none"/>
        </w:rPr>
      </w:pPr>
      <w:r>
        <w:rPr>
          <w:rFonts w:hint="eastAsia"/>
          <w:b/>
          <w:bCs/>
          <w:sz w:val="28"/>
          <w:szCs w:val="28"/>
          <w:highlight w:val="none"/>
        </w:rPr>
        <w:t>理财产品资金托管起始运作通知书</w:t>
      </w:r>
    </w:p>
    <w:p>
      <w:pPr>
        <w:spacing w:line="360" w:lineRule="auto"/>
        <w:rPr>
          <w:sz w:val="24"/>
          <w:highlight w:val="none"/>
        </w:rPr>
      </w:pPr>
      <w:r>
        <w:rPr>
          <w:rFonts w:hint="eastAsia"/>
          <w:sz w:val="24"/>
          <w:highlight w:val="none"/>
        </w:rPr>
        <w:t>尊敬的托管人：</w:t>
      </w:r>
    </w:p>
    <w:p>
      <w:pPr>
        <w:spacing w:line="360" w:lineRule="auto"/>
        <w:ind w:firstLine="600"/>
        <w:rPr>
          <w:sz w:val="24"/>
          <w:highlight w:val="none"/>
        </w:rPr>
      </w:pPr>
      <w:r>
        <w:rPr>
          <w:rFonts w:hint="eastAsia"/>
          <w:sz w:val="24"/>
          <w:highlight w:val="none"/>
        </w:rPr>
        <w:t>根据已签订的《恒丰理财理财产品托管协议》的要求，恒丰理财【 】理财产品（理财登记系统产品登记编号：</w:t>
      </w:r>
      <w:r>
        <w:rPr>
          <w:sz w:val="24"/>
          <w:highlight w:val="none"/>
        </w:rPr>
        <w:t xml:space="preserve">           </w:t>
      </w:r>
      <w:r>
        <w:rPr>
          <w:rFonts w:hint="eastAsia"/>
          <w:sz w:val="24"/>
          <w:highlight w:val="none"/>
        </w:rPr>
        <w:t>）财产正式运作的前提条件已成立：</w:t>
      </w:r>
    </w:p>
    <w:p>
      <w:pPr>
        <w:spacing w:line="360" w:lineRule="auto"/>
        <w:ind w:firstLine="480" w:firstLineChars="200"/>
        <w:rPr>
          <w:sz w:val="24"/>
          <w:highlight w:val="none"/>
        </w:rPr>
      </w:pPr>
      <w:r>
        <w:rPr>
          <w:rFonts w:hint="eastAsia"/>
          <w:sz w:val="24"/>
          <w:highlight w:val="none"/>
        </w:rPr>
        <w:t>理财产品受托管理资产人民币__________已划拨至下列托管账户：</w:t>
      </w:r>
    </w:p>
    <w:p>
      <w:pPr>
        <w:spacing w:line="360" w:lineRule="auto"/>
        <w:ind w:firstLine="480" w:firstLineChars="200"/>
        <w:rPr>
          <w:sz w:val="24"/>
          <w:highlight w:val="none"/>
        </w:rPr>
      </w:pPr>
      <w:r>
        <w:rPr>
          <w:rFonts w:hint="eastAsia"/>
          <w:sz w:val="24"/>
          <w:highlight w:val="none"/>
        </w:rPr>
        <w:t>户名：</w:t>
      </w:r>
    </w:p>
    <w:p>
      <w:pPr>
        <w:spacing w:line="360" w:lineRule="auto"/>
        <w:ind w:firstLine="480" w:firstLineChars="200"/>
        <w:rPr>
          <w:sz w:val="24"/>
          <w:highlight w:val="none"/>
        </w:rPr>
      </w:pPr>
      <w:r>
        <w:rPr>
          <w:rFonts w:hint="eastAsia"/>
          <w:sz w:val="24"/>
          <w:highlight w:val="none"/>
        </w:rPr>
        <w:t>账号：</w:t>
      </w:r>
    </w:p>
    <w:p>
      <w:pPr>
        <w:spacing w:line="360" w:lineRule="auto"/>
        <w:ind w:firstLine="480" w:firstLineChars="200"/>
        <w:rPr>
          <w:sz w:val="24"/>
          <w:highlight w:val="none"/>
        </w:rPr>
      </w:pPr>
      <w:r>
        <w:rPr>
          <w:rFonts w:hint="eastAsia"/>
          <w:sz w:val="24"/>
          <w:highlight w:val="none"/>
        </w:rPr>
        <w:t>开户行：</w:t>
      </w:r>
    </w:p>
    <w:p>
      <w:pPr>
        <w:spacing w:line="360" w:lineRule="auto"/>
        <w:ind w:firstLine="480" w:firstLineChars="200"/>
        <w:rPr>
          <w:sz w:val="24"/>
          <w:highlight w:val="none"/>
        </w:rPr>
      </w:pPr>
      <w:r>
        <w:rPr>
          <w:rFonts w:hint="eastAsia"/>
          <w:sz w:val="24"/>
          <w:highlight w:val="none"/>
        </w:rPr>
        <w:t>现托管账户内余额为</w:t>
      </w:r>
      <w:r>
        <w:rPr>
          <w:sz w:val="24"/>
          <w:highlight w:val="none"/>
        </w:rPr>
        <w:t xml:space="preserve">    </w:t>
      </w:r>
      <w:r>
        <w:rPr>
          <w:rFonts w:hint="eastAsia"/>
          <w:sz w:val="24"/>
          <w:highlight w:val="none"/>
        </w:rPr>
        <w:t>元。</w:t>
      </w:r>
    </w:p>
    <w:p>
      <w:pPr>
        <w:spacing w:line="360" w:lineRule="auto"/>
        <w:ind w:firstLine="480" w:firstLineChars="200"/>
        <w:rPr>
          <w:sz w:val="24"/>
          <w:highlight w:val="none"/>
        </w:rPr>
      </w:pPr>
      <w:r>
        <w:rPr>
          <w:rFonts w:hint="eastAsia"/>
          <w:sz w:val="24"/>
          <w:highlight w:val="none"/>
        </w:rPr>
        <w:t>理财产品成立时，托管账户内的资金余额为人民币</w:t>
      </w:r>
      <w:r>
        <w:rPr>
          <w:sz w:val="24"/>
          <w:highlight w:val="none"/>
        </w:rPr>
        <w:t xml:space="preserve">       </w:t>
      </w:r>
      <w:r>
        <w:rPr>
          <w:rFonts w:hint="eastAsia"/>
          <w:sz w:val="24"/>
          <w:highlight w:val="none"/>
        </w:rPr>
        <w:t>，与成立公告载明的理财资金金额一致。</w:t>
      </w:r>
    </w:p>
    <w:p>
      <w:pPr>
        <w:spacing w:line="360" w:lineRule="auto"/>
        <w:ind w:firstLine="360"/>
        <w:rPr>
          <w:sz w:val="24"/>
          <w:highlight w:val="none"/>
        </w:rPr>
      </w:pPr>
      <w:r>
        <w:rPr>
          <w:rFonts w:hint="eastAsia"/>
          <w:sz w:val="24"/>
          <w:highlight w:val="none"/>
        </w:rPr>
        <w:t>你行对理财产品的理财财产托管运作起始日以本通知为准，即起始日</w:t>
      </w:r>
      <w:r>
        <w:rPr>
          <w:sz w:val="24"/>
          <w:highlight w:val="none"/>
        </w:rPr>
        <w:t xml:space="preserve">   </w:t>
      </w:r>
      <w:r>
        <w:rPr>
          <w:rFonts w:hint="eastAsia"/>
          <w:sz w:val="24"/>
          <w:highlight w:val="none"/>
        </w:rPr>
        <w:t>年</w:t>
      </w:r>
      <w:r>
        <w:rPr>
          <w:sz w:val="24"/>
          <w:highlight w:val="none"/>
        </w:rPr>
        <w:t xml:space="preserve">   </w:t>
      </w:r>
      <w:r>
        <w:rPr>
          <w:rFonts w:hint="eastAsia"/>
          <w:sz w:val="24"/>
          <w:highlight w:val="none"/>
        </w:rPr>
        <w:t>月</w:t>
      </w:r>
      <w:r>
        <w:rPr>
          <w:sz w:val="24"/>
          <w:highlight w:val="none"/>
        </w:rPr>
        <w:t xml:space="preserve">   </w:t>
      </w:r>
      <w:r>
        <w:rPr>
          <w:rFonts w:hint="eastAsia"/>
          <w:sz w:val="24"/>
          <w:highlight w:val="none"/>
        </w:rPr>
        <w:t>日。</w:t>
      </w:r>
    </w:p>
    <w:p>
      <w:pPr>
        <w:spacing w:line="360" w:lineRule="auto"/>
        <w:ind w:firstLine="360"/>
        <w:rPr>
          <w:sz w:val="24"/>
          <w:highlight w:val="none"/>
        </w:rPr>
      </w:pPr>
      <w:r>
        <w:rPr>
          <w:rFonts w:hint="eastAsia"/>
          <w:sz w:val="24"/>
          <w:highlight w:val="none"/>
        </w:rPr>
        <w:t>特此通知。</w:t>
      </w:r>
    </w:p>
    <w:p>
      <w:pPr>
        <w:spacing w:line="360" w:lineRule="auto"/>
        <w:jc w:val="right"/>
        <w:rPr>
          <w:sz w:val="24"/>
          <w:highlight w:val="none"/>
        </w:rPr>
      </w:pPr>
    </w:p>
    <w:p>
      <w:pPr>
        <w:spacing w:line="360" w:lineRule="auto"/>
        <w:jc w:val="right"/>
        <w:rPr>
          <w:sz w:val="24"/>
          <w:highlight w:val="none"/>
        </w:rPr>
      </w:pPr>
    </w:p>
    <w:p>
      <w:pPr>
        <w:spacing w:line="360" w:lineRule="auto"/>
        <w:jc w:val="right"/>
        <w:rPr>
          <w:sz w:val="24"/>
          <w:highlight w:val="none"/>
        </w:rPr>
      </w:pPr>
      <w:r>
        <w:rPr>
          <w:rFonts w:hint="eastAsia"/>
          <w:sz w:val="24"/>
          <w:highlight w:val="none"/>
        </w:rPr>
        <w:t>管理人：恒丰理财有限责任公司</w:t>
      </w:r>
    </w:p>
    <w:p>
      <w:pPr>
        <w:spacing w:line="360" w:lineRule="auto"/>
        <w:rPr>
          <w:sz w:val="24"/>
          <w:highlight w:val="none"/>
        </w:rPr>
      </w:pPr>
    </w:p>
    <w:p>
      <w:pPr>
        <w:spacing w:line="360" w:lineRule="auto"/>
        <w:rPr>
          <w:sz w:val="24"/>
          <w:highlight w:val="none"/>
        </w:rPr>
      </w:pPr>
    </w:p>
    <w:p>
      <w:pPr>
        <w:spacing w:line="360" w:lineRule="auto"/>
        <w:rPr>
          <w:sz w:val="24"/>
          <w:highlight w:val="none"/>
        </w:rPr>
      </w:pPr>
      <w:r>
        <w:rPr>
          <w:rFonts w:hint="eastAsia"/>
          <w:sz w:val="24"/>
          <w:highlight w:val="none"/>
        </w:rPr>
        <w:t xml:space="preserve">                                               年  月  日</w:t>
      </w:r>
    </w:p>
    <w:p>
      <w:pPr>
        <w:widowControl/>
        <w:jc w:val="left"/>
        <w:rPr>
          <w:sz w:val="28"/>
          <w:szCs w:val="28"/>
          <w:highlight w:val="none"/>
        </w:rPr>
      </w:pPr>
      <w:r>
        <w:rPr>
          <w:sz w:val="28"/>
          <w:szCs w:val="28"/>
          <w:highlight w:val="none"/>
        </w:rPr>
        <w:br w:type="page"/>
      </w:r>
    </w:p>
    <w:p>
      <w:pPr>
        <w:pStyle w:val="3"/>
        <w:numPr>
          <w:ilvl w:val="0"/>
          <w:numId w:val="0"/>
        </w:numPr>
        <w:rPr>
          <w:szCs w:val="28"/>
          <w:highlight w:val="none"/>
        </w:rPr>
      </w:pPr>
      <w:bookmarkStart w:id="192" w:name="_Toc127449915"/>
      <w:bookmarkStart w:id="193" w:name="_Toc25603"/>
      <w:bookmarkStart w:id="194" w:name="_Toc542"/>
      <w:bookmarkStart w:id="195" w:name="_Toc1195"/>
      <w:bookmarkStart w:id="196" w:name="_Toc15526"/>
      <w:bookmarkStart w:id="197" w:name="_Toc15236"/>
      <w:bookmarkStart w:id="198" w:name="_Toc22953"/>
      <w:bookmarkStart w:id="199" w:name="_Toc7723"/>
      <w:r>
        <w:rPr>
          <w:rFonts w:hint="eastAsia"/>
          <w:szCs w:val="28"/>
          <w:highlight w:val="none"/>
        </w:rPr>
        <w:t>附件四：指令签发人员及印章授权书</w:t>
      </w:r>
      <w:bookmarkEnd w:id="192"/>
      <w:bookmarkEnd w:id="193"/>
      <w:bookmarkEnd w:id="194"/>
      <w:bookmarkEnd w:id="195"/>
      <w:bookmarkEnd w:id="196"/>
      <w:bookmarkEnd w:id="197"/>
      <w:bookmarkEnd w:id="198"/>
      <w:bookmarkEnd w:id="199"/>
      <w:r>
        <w:rPr>
          <w:rFonts w:hint="eastAsia"/>
          <w:szCs w:val="28"/>
          <w:highlight w:val="none"/>
        </w:rPr>
        <w:t>（样本）</w:t>
      </w:r>
    </w:p>
    <w:p>
      <w:pPr>
        <w:jc w:val="center"/>
        <w:rPr>
          <w:b/>
          <w:bCs/>
          <w:sz w:val="28"/>
          <w:szCs w:val="28"/>
          <w:highlight w:val="none"/>
        </w:rPr>
      </w:pPr>
      <w:r>
        <w:rPr>
          <w:rFonts w:hint="eastAsia"/>
          <w:b/>
          <w:bCs/>
          <w:sz w:val="28"/>
          <w:szCs w:val="28"/>
          <w:highlight w:val="none"/>
        </w:rPr>
        <w:t>指令签发人员及印章授权书</w:t>
      </w:r>
    </w:p>
    <w:p>
      <w:pPr>
        <w:spacing w:line="360" w:lineRule="auto"/>
        <w:rPr>
          <w:sz w:val="24"/>
          <w:highlight w:val="none"/>
        </w:rPr>
      </w:pPr>
      <w:r>
        <w:rPr>
          <w:rFonts w:hint="eastAsia"/>
          <w:sz w:val="24"/>
          <w:highlight w:val="none"/>
        </w:rPr>
        <w:t>指令接收方：</w:t>
      </w:r>
      <w:r>
        <w:rPr>
          <w:rFonts w:hint="eastAsia" w:ascii="仿宋" w:hAnsi="仿宋" w:eastAsia="仿宋" w:cs="仿宋"/>
          <w:sz w:val="24"/>
          <w:highlight w:val="none"/>
          <w:shd w:val="clear" w:color="auto" w:fill="FFFFFF"/>
        </w:rPr>
        <w:t>【】</w:t>
      </w:r>
      <w:r>
        <w:rPr>
          <w:rFonts w:hint="eastAsia"/>
          <w:sz w:val="24"/>
          <w:highlight w:val="none"/>
        </w:rPr>
        <w:t>（电子邮箱：</w:t>
      </w:r>
      <w:r>
        <w:rPr>
          <w:rFonts w:hint="eastAsia" w:ascii="仿宋" w:hAnsi="仿宋" w:eastAsia="仿宋" w:cs="仿宋"/>
          <w:sz w:val="24"/>
          <w:highlight w:val="none"/>
          <w:shd w:val="clear" w:color="auto" w:fill="FFFFFF"/>
        </w:rPr>
        <w:t>【】</w:t>
      </w:r>
      <w:r>
        <w:rPr>
          <w:rFonts w:hint="eastAsia"/>
          <w:sz w:val="24"/>
          <w:highlight w:val="none"/>
        </w:rPr>
        <w:t>）</w:t>
      </w:r>
    </w:p>
    <w:p>
      <w:pPr>
        <w:spacing w:line="360" w:lineRule="auto"/>
        <w:ind w:firstLine="420"/>
        <w:rPr>
          <w:sz w:val="24"/>
          <w:highlight w:val="none"/>
        </w:rPr>
      </w:pPr>
      <w:r>
        <w:rPr>
          <w:rFonts w:hint="eastAsia"/>
          <w:sz w:val="24"/>
          <w:highlight w:val="none"/>
        </w:rPr>
        <w:t>一、从</w:t>
      </w:r>
      <w:r>
        <w:rPr>
          <w:sz w:val="24"/>
          <w:highlight w:val="none"/>
        </w:rPr>
        <w:t xml:space="preserve">  </w:t>
      </w:r>
      <w:r>
        <w:rPr>
          <w:rFonts w:hint="eastAsia"/>
          <w:sz w:val="24"/>
          <w:highlight w:val="none"/>
        </w:rPr>
        <w:t>年</w:t>
      </w:r>
      <w:r>
        <w:rPr>
          <w:sz w:val="24"/>
          <w:highlight w:val="none"/>
        </w:rPr>
        <w:t xml:space="preserve">  </w:t>
      </w:r>
      <w:r>
        <w:rPr>
          <w:rFonts w:hint="eastAsia"/>
          <w:sz w:val="24"/>
          <w:highlight w:val="none"/>
        </w:rPr>
        <w:t>月</w:t>
      </w:r>
      <w:r>
        <w:rPr>
          <w:sz w:val="24"/>
          <w:highlight w:val="none"/>
        </w:rPr>
        <w:t xml:space="preserve">  </w:t>
      </w:r>
      <w:r>
        <w:rPr>
          <w:rFonts w:hint="eastAsia"/>
          <w:sz w:val="24"/>
          <w:highlight w:val="none"/>
        </w:rPr>
        <w:t>日起，管理人对恒丰理财理财产品的划款指令的指令签发人员，指定如下：</w:t>
      </w:r>
    </w:p>
    <w:p>
      <w:pPr>
        <w:spacing w:line="360" w:lineRule="auto"/>
        <w:ind w:firstLine="420"/>
        <w:rPr>
          <w:sz w:val="24"/>
          <w:highlight w:val="none"/>
        </w:rPr>
      </w:pPr>
      <w:r>
        <w:rPr>
          <w:rFonts w:hint="eastAsia"/>
          <w:sz w:val="24"/>
          <w:highlight w:val="none"/>
        </w:rPr>
        <w:t>有权经办人一：</w:t>
      </w:r>
      <w:r>
        <w:rPr>
          <w:sz w:val="24"/>
          <w:highlight w:val="none"/>
        </w:rPr>
        <w:t xml:space="preserve">              </w:t>
      </w:r>
      <w:r>
        <w:rPr>
          <w:rFonts w:hint="eastAsia"/>
          <w:sz w:val="24"/>
          <w:highlight w:val="none"/>
        </w:rPr>
        <w:t>有权经办人二：</w:t>
      </w:r>
    </w:p>
    <w:p>
      <w:pPr>
        <w:spacing w:line="360" w:lineRule="auto"/>
        <w:ind w:firstLine="420"/>
        <w:rPr>
          <w:sz w:val="24"/>
          <w:highlight w:val="none"/>
        </w:rPr>
      </w:pPr>
      <w:r>
        <w:rPr>
          <w:rFonts w:hint="eastAsia"/>
          <w:sz w:val="24"/>
          <w:highlight w:val="none"/>
        </w:rPr>
        <w:t>签章样本：</w:t>
      </w:r>
      <w:r>
        <w:rPr>
          <w:sz w:val="24"/>
          <w:highlight w:val="none"/>
        </w:rPr>
        <w:t xml:space="preserve">                  </w:t>
      </w:r>
      <w:r>
        <w:rPr>
          <w:rFonts w:hint="eastAsia"/>
          <w:sz w:val="24"/>
          <w:highlight w:val="none"/>
        </w:rPr>
        <w:t>签章样本：</w:t>
      </w:r>
    </w:p>
    <w:p>
      <w:pPr>
        <w:spacing w:line="360" w:lineRule="auto"/>
        <w:ind w:firstLine="420"/>
        <w:rPr>
          <w:sz w:val="24"/>
          <w:highlight w:val="none"/>
        </w:rPr>
      </w:pPr>
      <w:r>
        <w:rPr>
          <w:rFonts w:hint="eastAsia"/>
          <w:sz w:val="24"/>
          <w:highlight w:val="none"/>
        </w:rPr>
        <w:t>有权复核人一：</w:t>
      </w:r>
      <w:r>
        <w:rPr>
          <w:sz w:val="24"/>
          <w:highlight w:val="none"/>
        </w:rPr>
        <w:t xml:space="preserve">              </w:t>
      </w:r>
      <w:r>
        <w:rPr>
          <w:rFonts w:hint="eastAsia"/>
          <w:sz w:val="24"/>
          <w:highlight w:val="none"/>
        </w:rPr>
        <w:t>有权复核人二：</w:t>
      </w:r>
    </w:p>
    <w:p>
      <w:pPr>
        <w:spacing w:line="360" w:lineRule="auto"/>
        <w:ind w:firstLine="420"/>
        <w:rPr>
          <w:sz w:val="24"/>
          <w:highlight w:val="none"/>
        </w:rPr>
      </w:pPr>
      <w:r>
        <w:rPr>
          <w:rFonts w:hint="eastAsia"/>
          <w:sz w:val="24"/>
          <w:highlight w:val="none"/>
        </w:rPr>
        <w:t>签章样本：</w:t>
      </w:r>
      <w:r>
        <w:rPr>
          <w:sz w:val="24"/>
          <w:highlight w:val="none"/>
        </w:rPr>
        <w:t xml:space="preserve">                  </w:t>
      </w:r>
      <w:r>
        <w:rPr>
          <w:rFonts w:hint="eastAsia"/>
          <w:sz w:val="24"/>
          <w:highlight w:val="none"/>
        </w:rPr>
        <w:t>签章样本：</w:t>
      </w:r>
    </w:p>
    <w:p>
      <w:pPr>
        <w:spacing w:line="360" w:lineRule="auto"/>
        <w:ind w:firstLine="420"/>
        <w:rPr>
          <w:sz w:val="24"/>
          <w:highlight w:val="none"/>
        </w:rPr>
      </w:pPr>
      <w:r>
        <w:rPr>
          <w:rFonts w:hint="eastAsia"/>
          <w:sz w:val="24"/>
          <w:highlight w:val="none"/>
        </w:rPr>
        <w:t>有权签发人一：</w:t>
      </w:r>
      <w:r>
        <w:rPr>
          <w:sz w:val="24"/>
          <w:highlight w:val="none"/>
        </w:rPr>
        <w:t xml:space="preserve">              </w:t>
      </w:r>
      <w:r>
        <w:rPr>
          <w:rFonts w:hint="eastAsia"/>
          <w:sz w:val="24"/>
          <w:highlight w:val="none"/>
        </w:rPr>
        <w:t>有权签发人二：</w:t>
      </w:r>
    </w:p>
    <w:p>
      <w:pPr>
        <w:spacing w:line="360" w:lineRule="auto"/>
        <w:ind w:firstLine="420"/>
        <w:rPr>
          <w:sz w:val="24"/>
          <w:highlight w:val="none"/>
        </w:rPr>
      </w:pPr>
      <w:r>
        <w:rPr>
          <w:rFonts w:hint="eastAsia"/>
          <w:sz w:val="24"/>
          <w:highlight w:val="none"/>
        </w:rPr>
        <w:t>签章样本：</w:t>
      </w:r>
      <w:r>
        <w:rPr>
          <w:sz w:val="24"/>
          <w:highlight w:val="none"/>
        </w:rPr>
        <w:t xml:space="preserve">                  </w:t>
      </w:r>
      <w:r>
        <w:rPr>
          <w:rFonts w:hint="eastAsia"/>
          <w:sz w:val="24"/>
          <w:highlight w:val="none"/>
        </w:rPr>
        <w:t>签章样本：</w:t>
      </w:r>
    </w:p>
    <w:p>
      <w:pPr>
        <w:spacing w:line="360" w:lineRule="auto"/>
        <w:ind w:firstLine="420"/>
        <w:rPr>
          <w:sz w:val="24"/>
          <w:highlight w:val="none"/>
        </w:rPr>
      </w:pPr>
      <w:r>
        <w:rPr>
          <w:rFonts w:hint="eastAsia"/>
          <w:sz w:val="24"/>
          <w:highlight w:val="none"/>
        </w:rPr>
        <w:t>二、从</w:t>
      </w:r>
      <w:r>
        <w:rPr>
          <w:sz w:val="24"/>
          <w:highlight w:val="none"/>
        </w:rPr>
        <w:t xml:space="preserve">  </w:t>
      </w:r>
      <w:r>
        <w:rPr>
          <w:rFonts w:hint="eastAsia"/>
          <w:sz w:val="24"/>
          <w:highlight w:val="none"/>
        </w:rPr>
        <w:t>年</w:t>
      </w:r>
      <w:r>
        <w:rPr>
          <w:sz w:val="24"/>
          <w:highlight w:val="none"/>
        </w:rPr>
        <w:t xml:space="preserve">  </w:t>
      </w:r>
      <w:r>
        <w:rPr>
          <w:rFonts w:hint="eastAsia"/>
          <w:sz w:val="24"/>
          <w:highlight w:val="none"/>
        </w:rPr>
        <w:t>月</w:t>
      </w:r>
      <w:r>
        <w:rPr>
          <w:sz w:val="24"/>
          <w:highlight w:val="none"/>
        </w:rPr>
        <w:t xml:space="preserve">  </w:t>
      </w:r>
      <w:r>
        <w:rPr>
          <w:rFonts w:hint="eastAsia"/>
          <w:sz w:val="24"/>
          <w:highlight w:val="none"/>
        </w:rPr>
        <w:t>日起，管理人预留印章，用于划款指令、日常业务联</w:t>
      </w:r>
    </w:p>
    <w:p>
      <w:pPr>
        <w:spacing w:line="360" w:lineRule="auto"/>
        <w:ind w:firstLine="420"/>
        <w:rPr>
          <w:sz w:val="24"/>
          <w:highlight w:val="none"/>
        </w:rPr>
      </w:pPr>
      <w:r>
        <w:rPr>
          <w:rFonts w:hint="eastAsia"/>
          <w:sz w:val="24"/>
          <w:highlight w:val="none"/>
        </w:rPr>
        <w:t>系等，样本如下：</w:t>
      </w:r>
    </w:p>
    <w:p>
      <w:pPr>
        <w:spacing w:line="360" w:lineRule="auto"/>
        <w:ind w:firstLine="420"/>
        <w:rPr>
          <w:sz w:val="24"/>
          <w:highlight w:val="none"/>
        </w:rPr>
      </w:pPr>
    </w:p>
    <w:p>
      <w:pPr>
        <w:spacing w:line="360" w:lineRule="auto"/>
        <w:ind w:firstLine="420"/>
        <w:rPr>
          <w:sz w:val="24"/>
          <w:highlight w:val="none"/>
        </w:rPr>
      </w:pPr>
    </w:p>
    <w:p>
      <w:pPr>
        <w:spacing w:line="360" w:lineRule="auto"/>
        <w:ind w:firstLine="420"/>
        <w:rPr>
          <w:sz w:val="24"/>
          <w:highlight w:val="none"/>
        </w:rPr>
      </w:pPr>
      <w:r>
        <w:rPr>
          <w:rFonts w:hint="eastAsia"/>
          <w:sz w:val="24"/>
          <w:highlight w:val="none"/>
        </w:rPr>
        <w:t>三、上述授权的使用规则，即划款指令生效条件：</w:t>
      </w:r>
    </w:p>
    <w:p>
      <w:pPr>
        <w:spacing w:line="360" w:lineRule="auto"/>
        <w:ind w:firstLine="420"/>
        <w:rPr>
          <w:sz w:val="24"/>
          <w:highlight w:val="none"/>
        </w:rPr>
      </w:pPr>
      <w:r>
        <w:rPr>
          <w:rFonts w:hint="eastAsia"/>
          <w:sz w:val="24"/>
          <w:highlight w:val="none"/>
        </w:rPr>
        <w:t>划款指令经任一经办人、任一复核人、任一签发人（如有）签名（章）后，并加盖第二条规定的预留印章后，划款指令生效。</w:t>
      </w:r>
    </w:p>
    <w:p>
      <w:pPr>
        <w:numPr>
          <w:ilvl w:val="0"/>
          <w:numId w:val="20"/>
        </w:numPr>
        <w:spacing w:line="360" w:lineRule="auto"/>
        <w:ind w:firstLine="420"/>
        <w:rPr>
          <w:sz w:val="24"/>
          <w:highlight w:val="none"/>
        </w:rPr>
      </w:pPr>
      <w:r>
        <w:rPr>
          <w:rFonts w:hint="eastAsia"/>
          <w:sz w:val="24"/>
          <w:highlight w:val="none"/>
        </w:rPr>
        <w:t>上述指令签发人员授权的权限范围包括但不限于理财产品的投资交易、利益分配、报酬和费用支付等理财产品文件规定的资金划付操作。</w:t>
      </w:r>
    </w:p>
    <w:p>
      <w:pPr>
        <w:spacing w:line="360" w:lineRule="auto"/>
        <w:ind w:firstLine="420"/>
        <w:rPr>
          <w:sz w:val="24"/>
          <w:highlight w:val="none"/>
        </w:rPr>
      </w:pPr>
      <w:r>
        <w:rPr>
          <w:rFonts w:hint="eastAsia"/>
          <w:sz w:val="24"/>
          <w:highlight w:val="none"/>
        </w:rPr>
        <w:t>备注：以上授权的期限、使用范围同托管协议。</w:t>
      </w:r>
    </w:p>
    <w:p>
      <w:pPr>
        <w:spacing w:line="360" w:lineRule="auto"/>
        <w:rPr>
          <w:sz w:val="24"/>
          <w:highlight w:val="none"/>
        </w:rPr>
      </w:pPr>
    </w:p>
    <w:p>
      <w:pPr>
        <w:spacing w:line="360" w:lineRule="auto"/>
        <w:ind w:firstLine="4080"/>
        <w:rPr>
          <w:sz w:val="24"/>
          <w:highlight w:val="none"/>
        </w:rPr>
      </w:pPr>
      <w:r>
        <w:rPr>
          <w:rFonts w:hint="eastAsia"/>
          <w:sz w:val="24"/>
          <w:highlight w:val="none"/>
        </w:rPr>
        <w:t>管理人:</w:t>
      </w:r>
      <w:r>
        <w:rPr>
          <w:sz w:val="24"/>
          <w:highlight w:val="none"/>
        </w:rPr>
        <w:t xml:space="preserve"> </w:t>
      </w:r>
      <w:r>
        <w:rPr>
          <w:rFonts w:hint="eastAsia"/>
          <w:sz w:val="24"/>
          <w:highlight w:val="none"/>
        </w:rPr>
        <w:t>恒丰理财有限责任公司</w:t>
      </w:r>
    </w:p>
    <w:p>
      <w:pPr>
        <w:spacing w:line="360" w:lineRule="auto"/>
        <w:rPr>
          <w:sz w:val="24"/>
          <w:highlight w:val="none"/>
        </w:rPr>
      </w:pPr>
    </w:p>
    <w:p>
      <w:pPr>
        <w:spacing w:line="360" w:lineRule="auto"/>
        <w:rPr>
          <w:sz w:val="24"/>
          <w:highlight w:val="none"/>
        </w:rPr>
      </w:pPr>
      <w:r>
        <w:rPr>
          <w:rFonts w:hint="eastAsia"/>
          <w:sz w:val="24"/>
          <w:highlight w:val="none"/>
        </w:rPr>
        <w:t xml:space="preserve">                                   授权代表：（签章）</w:t>
      </w:r>
    </w:p>
    <w:p>
      <w:pPr>
        <w:spacing w:line="360" w:lineRule="auto"/>
        <w:jc w:val="right"/>
        <w:rPr>
          <w:sz w:val="24"/>
          <w:highlight w:val="none"/>
        </w:rPr>
      </w:pPr>
    </w:p>
    <w:p>
      <w:pPr>
        <w:pStyle w:val="6"/>
        <w:ind w:firstLine="480"/>
        <w:jc w:val="right"/>
        <w:rPr>
          <w:highlight w:val="none"/>
        </w:rPr>
      </w:pPr>
      <w:r>
        <w:rPr>
          <w:rFonts w:hint="eastAsia"/>
          <w:sz w:val="24"/>
          <w:highlight w:val="none"/>
        </w:rPr>
        <w:t xml:space="preserve">               年   月  日</w:t>
      </w:r>
    </w:p>
    <w:p>
      <w:pPr>
        <w:rPr>
          <w:szCs w:val="28"/>
          <w:highlight w:val="none"/>
        </w:rPr>
      </w:pPr>
      <w:bookmarkStart w:id="200" w:name="_Toc3012"/>
      <w:bookmarkStart w:id="201" w:name="_Toc17243"/>
      <w:bookmarkStart w:id="202" w:name="_Toc1030"/>
      <w:bookmarkStart w:id="203" w:name="_Toc15799"/>
      <w:bookmarkStart w:id="204" w:name="_Toc2407"/>
      <w:r>
        <w:rPr>
          <w:szCs w:val="28"/>
          <w:highlight w:val="none"/>
        </w:rPr>
        <w:br w:type="page"/>
      </w:r>
    </w:p>
    <w:p>
      <w:pPr>
        <w:pStyle w:val="3"/>
        <w:numPr>
          <w:ilvl w:val="0"/>
          <w:numId w:val="0"/>
        </w:numPr>
        <w:rPr>
          <w:szCs w:val="28"/>
          <w:highlight w:val="none"/>
        </w:rPr>
      </w:pPr>
      <w:bookmarkStart w:id="205" w:name="_Toc127449916"/>
      <w:bookmarkStart w:id="206" w:name="_Toc31856"/>
      <w:r>
        <w:rPr>
          <w:rFonts w:hint="eastAsia"/>
          <w:szCs w:val="28"/>
          <w:highlight w:val="none"/>
        </w:rPr>
        <w:t>附件五：投资监督事项表</w:t>
      </w:r>
      <w:bookmarkEnd w:id="200"/>
      <w:bookmarkEnd w:id="201"/>
      <w:bookmarkEnd w:id="202"/>
      <w:bookmarkEnd w:id="203"/>
      <w:bookmarkEnd w:id="204"/>
      <w:bookmarkEnd w:id="205"/>
      <w:bookmarkEnd w:id="206"/>
      <w:r>
        <w:rPr>
          <w:rFonts w:hint="eastAsia"/>
          <w:szCs w:val="28"/>
          <w:highlight w:val="none"/>
        </w:rPr>
        <w:t>（样本）</w:t>
      </w:r>
    </w:p>
    <w:p>
      <w:pPr>
        <w:pStyle w:val="6"/>
        <w:ind w:firstLine="562"/>
        <w:jc w:val="center"/>
        <w:rPr>
          <w:b/>
          <w:bCs/>
          <w:sz w:val="28"/>
          <w:szCs w:val="28"/>
          <w:highlight w:val="none"/>
        </w:rPr>
      </w:pPr>
      <w:r>
        <w:rPr>
          <w:rFonts w:hint="eastAsia"/>
          <w:b/>
          <w:bCs/>
          <w:sz w:val="28"/>
          <w:szCs w:val="28"/>
          <w:highlight w:val="none"/>
        </w:rPr>
        <w:t>投资监督事项表</w:t>
      </w:r>
    </w:p>
    <w:p>
      <w:pPr>
        <w:widowControl/>
        <w:spacing w:line="360" w:lineRule="auto"/>
        <w:ind w:firstLine="482"/>
        <w:jc w:val="left"/>
        <w:rPr>
          <w:rFonts w:ascii="宋体" w:hAnsi="宋体" w:cs="宋体"/>
          <w:b/>
          <w:bCs/>
          <w:sz w:val="24"/>
          <w:highlight w:val="none"/>
        </w:rPr>
      </w:pPr>
      <w:r>
        <w:rPr>
          <w:rFonts w:ascii="宋体" w:hAnsi="宋体" w:cs="宋体"/>
          <w:b/>
          <w:bCs/>
          <w:sz w:val="24"/>
          <w:highlight w:val="none"/>
        </w:rPr>
        <w:t>投资管理</w:t>
      </w:r>
      <w:r>
        <w:rPr>
          <w:rFonts w:hint="eastAsia" w:ascii="宋体" w:hAnsi="宋体" w:cs="宋体"/>
          <w:b/>
          <w:bCs/>
          <w:sz w:val="24"/>
          <w:highlight w:val="none"/>
        </w:rPr>
        <w:t>：</w:t>
      </w:r>
    </w:p>
    <w:p>
      <w:pPr>
        <w:pStyle w:val="2"/>
        <w:spacing w:line="360" w:lineRule="auto"/>
        <w:ind w:firstLine="480"/>
        <w:rPr>
          <w:rFonts w:ascii="宋体" w:hAnsi="宋体" w:cs="宋体"/>
          <w:sz w:val="24"/>
          <w:highlight w:val="none"/>
        </w:rPr>
      </w:pPr>
      <w:r>
        <w:rPr>
          <w:rFonts w:hint="eastAsia" w:ascii="宋体" w:hAnsi="宋体" w:cs="宋体"/>
          <w:sz w:val="24"/>
          <w:highlight w:val="none"/>
        </w:rPr>
        <w:t>理财产品投资范围以单个理财产品</w:t>
      </w:r>
      <w:r>
        <w:rPr>
          <w:rFonts w:hint="eastAsia" w:ascii="宋体" w:hAnsi="宋体" w:cs="宋体"/>
          <w:sz w:val="24"/>
          <w:highlight w:val="none"/>
          <w:lang w:val="en-US" w:eastAsia="zh-CN"/>
        </w:rPr>
        <w:t>成立时双方协商一致</w:t>
      </w:r>
      <w:r>
        <w:rPr>
          <w:rFonts w:hint="eastAsia" w:ascii="宋体" w:hAnsi="宋体" w:cs="宋体"/>
          <w:sz w:val="24"/>
          <w:highlight w:val="none"/>
        </w:rPr>
        <w:t>为准。</w:t>
      </w:r>
    </w:p>
    <w:p>
      <w:pPr>
        <w:pStyle w:val="2"/>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托管人以</w:t>
      </w:r>
      <w:r>
        <w:rPr>
          <w:rFonts w:hint="eastAsia" w:ascii="宋体" w:hAnsi="宋体" w:cs="宋体"/>
          <w:sz w:val="24"/>
          <w:szCs w:val="24"/>
          <w:highlight w:val="none"/>
          <w:lang w:val="en-US" w:eastAsia="zh-CN"/>
        </w:rPr>
        <w:t>直接持仓数据</w:t>
      </w:r>
      <w:r>
        <w:rPr>
          <w:rFonts w:hint="eastAsia" w:ascii="宋体" w:hAnsi="宋体" w:cs="宋体"/>
          <w:sz w:val="24"/>
          <w:szCs w:val="24"/>
          <w:highlight w:val="none"/>
        </w:rPr>
        <w:t>为依据监督。</w:t>
      </w:r>
    </w:p>
    <w:p>
      <w:pPr>
        <w:pStyle w:val="2"/>
        <w:spacing w:line="360" w:lineRule="auto"/>
        <w:ind w:firstLine="480"/>
        <w:rPr>
          <w:rFonts w:ascii="宋体" w:hAnsi="宋体" w:cs="宋体"/>
          <w:sz w:val="24"/>
          <w:szCs w:val="24"/>
          <w:highlight w:val="none"/>
        </w:rPr>
      </w:pPr>
      <w:r>
        <w:rPr>
          <w:rFonts w:hint="eastAsia" w:ascii="宋体" w:hAnsi="宋体" w:cs="宋体"/>
          <w:sz w:val="24"/>
          <w:szCs w:val="24"/>
          <w:highlight w:val="none"/>
        </w:rPr>
        <w:t>本投资监督事项表内的事项由托管人负责监督，不在投资监督事项表内的投资监督事项由管理人负责监督。</w:t>
      </w:r>
    </w:p>
    <w:p>
      <w:pPr>
        <w:pStyle w:val="2"/>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托管人对投资管理的监督义务，仅限于监督由管理人管理且由托管人托管的所有理财产品是否符合上述比例限制。</w:t>
      </w:r>
    </w:p>
    <w:p>
      <w:pPr>
        <w:pStyle w:val="2"/>
        <w:spacing w:line="360" w:lineRule="auto"/>
        <w:ind w:firstLine="480"/>
        <w:rPr>
          <w:rFonts w:ascii="宋体" w:hAnsi="宋体" w:cs="宋体"/>
          <w:sz w:val="24"/>
          <w:szCs w:val="24"/>
          <w:highlight w:val="none"/>
        </w:rPr>
      </w:pPr>
      <w:r>
        <w:rPr>
          <w:rFonts w:hint="eastAsia" w:ascii="宋体" w:hAnsi="宋体" w:cs="宋体"/>
          <w:sz w:val="24"/>
          <w:szCs w:val="24"/>
          <w:highlight w:val="none"/>
        </w:rPr>
        <w:t>托管人的投资监督报告的准确性和完整性受限于管理人及其他中介机构提供的数据和信息</w:t>
      </w:r>
      <w:r>
        <w:rPr>
          <w:rFonts w:ascii="宋体" w:hAnsi="宋体" w:cs="宋体"/>
          <w:sz w:val="24"/>
          <w:szCs w:val="24"/>
          <w:highlight w:val="none"/>
        </w:rPr>
        <w:t>,合规投资责任方为管理人。托管人对这些机构的信息的真实性、准确性和完整性不作任何担保、暗示或表示，并对这些机构的信息的错误或遗漏所引起的损失不负任何责任。</w:t>
      </w:r>
    </w:p>
    <w:p>
      <w:pPr>
        <w:pStyle w:val="2"/>
        <w:spacing w:line="360" w:lineRule="auto"/>
        <w:ind w:firstLine="480"/>
        <w:rPr>
          <w:rFonts w:ascii="宋体" w:hAnsi="宋体" w:cs="宋体"/>
          <w:sz w:val="24"/>
          <w:szCs w:val="24"/>
          <w:highlight w:val="none"/>
        </w:rPr>
      </w:pPr>
      <w:r>
        <w:rPr>
          <w:rFonts w:hint="eastAsia" w:ascii="宋体" w:hAnsi="宋体" w:cs="宋体"/>
          <w:sz w:val="24"/>
          <w:szCs w:val="24"/>
          <w:highlight w:val="none"/>
        </w:rPr>
        <w:t>托管人仅在实际可控制的能力范围内，勤勉尽责的履行上述监督责任。对于超过托管人实际控制范围的事项，托管人不承担监督责任。</w:t>
      </w:r>
    </w:p>
    <w:p>
      <w:pPr>
        <w:pStyle w:val="2"/>
        <w:spacing w:line="360" w:lineRule="auto"/>
        <w:ind w:firstLine="480"/>
        <w:rPr>
          <w:rFonts w:ascii="宋体" w:hAnsi="宋体" w:cs="宋体"/>
          <w:sz w:val="24"/>
          <w:szCs w:val="24"/>
          <w:highlight w:val="none"/>
        </w:rPr>
      </w:pPr>
      <w:r>
        <w:rPr>
          <w:rFonts w:hint="eastAsia" w:ascii="宋体" w:hAnsi="宋体" w:cs="宋体"/>
          <w:sz w:val="24"/>
          <w:szCs w:val="24"/>
          <w:highlight w:val="none"/>
        </w:rPr>
        <w:t>托管人对管理人的投资行为及其投资回报不承担任何责任。托管人不会因为提供投资监督报告而承担任何因委托人或管理人违规投资所产生的有关责任，也没有义务去采取任何手段回应任何与投资监督报告有关的信息和报道。但如收到委托人或管理人的书面指示，托管人将对投资监督报告所述的违规行为提供有关资料。</w:t>
      </w:r>
    </w:p>
    <w:p>
      <w:pPr>
        <w:pStyle w:val="2"/>
        <w:spacing w:line="360" w:lineRule="auto"/>
        <w:rPr>
          <w:rFonts w:ascii="宋体" w:hAnsi="宋体" w:cs="宋体"/>
          <w:sz w:val="24"/>
          <w:szCs w:val="24"/>
          <w:highlight w:val="none"/>
        </w:rPr>
      </w:pPr>
    </w:p>
    <w:p>
      <w:pPr>
        <w:spacing w:line="360" w:lineRule="auto"/>
        <w:ind w:firstLine="3120"/>
        <w:jc w:val="left"/>
        <w:rPr>
          <w:rFonts w:ascii="宋体" w:hAnsi="宋体" w:cs="宋体"/>
          <w:sz w:val="24"/>
          <w:highlight w:val="none"/>
        </w:rPr>
      </w:pPr>
    </w:p>
    <w:p>
      <w:pPr>
        <w:spacing w:line="360" w:lineRule="auto"/>
        <w:ind w:firstLine="3120"/>
        <w:jc w:val="left"/>
        <w:rPr>
          <w:rFonts w:ascii="宋体" w:hAnsi="宋体" w:cs="宋体"/>
          <w:sz w:val="24"/>
          <w:highlight w:val="none"/>
        </w:rPr>
      </w:pPr>
    </w:p>
    <w:p>
      <w:pPr>
        <w:spacing w:line="360" w:lineRule="auto"/>
        <w:ind w:firstLine="3120"/>
        <w:jc w:val="left"/>
        <w:rPr>
          <w:rFonts w:ascii="宋体" w:hAnsi="宋体" w:cs="宋体"/>
          <w:sz w:val="24"/>
          <w:highlight w:val="none"/>
        </w:rPr>
      </w:pPr>
      <w:r>
        <w:rPr>
          <w:rFonts w:hint="eastAsia" w:ascii="宋体" w:hAnsi="宋体" w:cs="宋体"/>
          <w:sz w:val="24"/>
          <w:highlight w:val="none"/>
        </w:rPr>
        <w:t>管理人：</w:t>
      </w:r>
      <w:r>
        <w:rPr>
          <w:rFonts w:hint="eastAsia"/>
          <w:sz w:val="24"/>
          <w:highlight w:val="none"/>
        </w:rPr>
        <w:t>恒丰理财有限责任公司</w:t>
      </w:r>
    </w:p>
    <w:p>
      <w:pPr>
        <w:spacing w:line="360" w:lineRule="auto"/>
        <w:ind w:firstLine="3600"/>
        <w:jc w:val="left"/>
        <w:rPr>
          <w:rFonts w:ascii="宋体" w:hAnsi="宋体" w:cs="宋体"/>
          <w:sz w:val="24"/>
          <w:highlight w:val="none"/>
        </w:rPr>
      </w:pPr>
      <w:r>
        <w:rPr>
          <w:rFonts w:ascii="宋体" w:hAnsi="宋体" w:cs="宋体"/>
          <w:sz w:val="24"/>
          <w:highlight w:val="none"/>
        </w:rPr>
        <w:t xml:space="preserve">     年    月    日</w:t>
      </w:r>
    </w:p>
    <w:p>
      <w:pPr>
        <w:pStyle w:val="6"/>
        <w:ind w:firstLine="0"/>
        <w:rPr>
          <w:b/>
          <w:bCs/>
          <w:sz w:val="28"/>
          <w:szCs w:val="28"/>
          <w:highlight w:val="none"/>
        </w:rPr>
      </w:pPr>
    </w:p>
    <w:p>
      <w:pPr>
        <w:rPr>
          <w:szCs w:val="28"/>
          <w:highlight w:val="none"/>
        </w:rPr>
      </w:pPr>
      <w:bookmarkStart w:id="207" w:name="_Toc7121698"/>
      <w:bookmarkStart w:id="208" w:name="_Toc1616"/>
      <w:bookmarkStart w:id="209" w:name="_Toc2608"/>
      <w:bookmarkStart w:id="210" w:name="_Toc28885"/>
      <w:bookmarkStart w:id="211" w:name="_Toc9779"/>
      <w:bookmarkStart w:id="212" w:name="_Toc296615144"/>
      <w:bookmarkStart w:id="213" w:name="_Toc13379"/>
      <w:bookmarkStart w:id="214" w:name="_Toc469410202"/>
      <w:bookmarkStart w:id="215" w:name="_Toc3514"/>
      <w:bookmarkStart w:id="216" w:name="_Toc9698"/>
      <w:bookmarkStart w:id="217" w:name="_Toc217136317"/>
      <w:bookmarkStart w:id="218" w:name="_Toc11773"/>
      <w:bookmarkStart w:id="219" w:name="_Toc241828971"/>
      <w:bookmarkStart w:id="220" w:name="_Toc17366"/>
      <w:bookmarkStart w:id="221" w:name="_Toc317837036"/>
      <w:bookmarkStart w:id="222" w:name="_Toc217126027"/>
      <w:bookmarkStart w:id="223" w:name="_Toc25097"/>
      <w:bookmarkStart w:id="224" w:name="_Toc9768"/>
      <w:bookmarkStart w:id="225" w:name="_Toc8886"/>
      <w:r>
        <w:rPr>
          <w:szCs w:val="28"/>
          <w:highlight w:val="none"/>
        </w:rPr>
        <w:br w:type="page"/>
      </w:r>
    </w:p>
    <w:p>
      <w:pPr>
        <w:pStyle w:val="3"/>
        <w:numPr>
          <w:ilvl w:val="0"/>
          <w:numId w:val="0"/>
        </w:numPr>
        <w:rPr>
          <w:szCs w:val="28"/>
          <w:highlight w:val="none"/>
        </w:rPr>
      </w:pPr>
      <w:bookmarkStart w:id="226" w:name="_Toc127449917"/>
      <w:r>
        <w:rPr>
          <w:rFonts w:hint="eastAsia"/>
          <w:szCs w:val="28"/>
          <w:highlight w:val="none"/>
        </w:rPr>
        <w:t>附件六：专用清算账户及资金划拨专用账户</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pStyle w:val="192"/>
        <w:spacing w:line="360" w:lineRule="auto"/>
        <w:ind w:firstLine="480"/>
        <w:rPr>
          <w:rFonts w:ascii="Calibri" w:hAnsi="Calibri"/>
          <w:szCs w:val="24"/>
          <w:highlight w:val="none"/>
        </w:rPr>
      </w:pPr>
      <w:r>
        <w:rPr>
          <w:rFonts w:hint="eastAsia" w:ascii="Calibri" w:hAnsi="Calibri"/>
          <w:szCs w:val="24"/>
          <w:highlight w:val="none"/>
        </w:rPr>
        <w:t>（</w:t>
      </w:r>
      <w:r>
        <w:rPr>
          <w:rFonts w:ascii="Calibri" w:hAnsi="Calibri"/>
          <w:szCs w:val="24"/>
          <w:highlight w:val="none"/>
        </w:rPr>
        <w:t>1）托管账户</w:t>
      </w:r>
    </w:p>
    <w:p>
      <w:pPr>
        <w:pStyle w:val="193"/>
        <w:spacing w:line="360" w:lineRule="auto"/>
        <w:ind w:firstLine="480"/>
        <w:rPr>
          <w:rFonts w:ascii="Calibri" w:hAnsi="Calibri"/>
          <w:sz w:val="24"/>
          <w:szCs w:val="24"/>
          <w:highlight w:val="none"/>
        </w:rPr>
      </w:pPr>
      <w:r>
        <w:rPr>
          <w:rFonts w:hint="eastAsia" w:ascii="Calibri" w:hAnsi="Calibri"/>
          <w:sz w:val="24"/>
          <w:highlight w:val="none"/>
        </w:rPr>
        <w:t>恒丰理财单个理财产品托管账户信息以具体开户回执为准。</w:t>
      </w:r>
    </w:p>
    <w:p>
      <w:pPr>
        <w:pStyle w:val="192"/>
        <w:spacing w:line="360" w:lineRule="auto"/>
        <w:ind w:firstLine="480"/>
        <w:rPr>
          <w:rFonts w:ascii="Calibri" w:hAnsi="Calibri"/>
          <w:szCs w:val="24"/>
          <w:highlight w:val="none"/>
        </w:rPr>
      </w:pPr>
    </w:p>
    <w:p>
      <w:pPr>
        <w:pStyle w:val="192"/>
        <w:spacing w:line="360" w:lineRule="auto"/>
        <w:ind w:firstLine="480"/>
        <w:rPr>
          <w:rFonts w:ascii="Calibri" w:hAnsi="Calibri"/>
          <w:szCs w:val="24"/>
          <w:highlight w:val="none"/>
        </w:rPr>
      </w:pPr>
      <w:r>
        <w:rPr>
          <w:rFonts w:hint="eastAsia" w:ascii="Calibri" w:hAnsi="Calibri"/>
          <w:szCs w:val="24"/>
          <w:highlight w:val="none"/>
        </w:rPr>
        <w:t>（</w:t>
      </w:r>
      <w:r>
        <w:rPr>
          <w:rFonts w:ascii="Calibri" w:hAnsi="Calibri"/>
          <w:szCs w:val="24"/>
          <w:highlight w:val="none"/>
        </w:rPr>
        <w:t>2）管理人费用收入账户</w:t>
      </w:r>
    </w:p>
    <w:p>
      <w:pPr>
        <w:spacing w:line="360" w:lineRule="auto"/>
        <w:ind w:firstLine="435"/>
        <w:rPr>
          <w:sz w:val="24"/>
          <w:highlight w:val="none"/>
        </w:rPr>
      </w:pPr>
      <w:r>
        <w:rPr>
          <w:rFonts w:hint="eastAsia"/>
          <w:sz w:val="24"/>
          <w:highlight w:val="none"/>
        </w:rPr>
        <w:t>户名：恒丰理财有限责任公司</w:t>
      </w:r>
    </w:p>
    <w:p>
      <w:pPr>
        <w:spacing w:line="360" w:lineRule="auto"/>
        <w:ind w:firstLine="435"/>
        <w:rPr>
          <w:sz w:val="24"/>
          <w:highlight w:val="none"/>
        </w:rPr>
      </w:pPr>
      <w:r>
        <w:rPr>
          <w:rFonts w:hint="eastAsia"/>
          <w:sz w:val="24"/>
          <w:highlight w:val="none"/>
        </w:rPr>
        <w:t>账号：</w:t>
      </w:r>
      <w:r>
        <w:rPr>
          <w:sz w:val="24"/>
          <w:highlight w:val="none"/>
        </w:rPr>
        <w:t>853211010122803607</w:t>
      </w:r>
    </w:p>
    <w:p>
      <w:pPr>
        <w:spacing w:line="360" w:lineRule="auto"/>
        <w:ind w:firstLine="435"/>
        <w:rPr>
          <w:sz w:val="24"/>
          <w:highlight w:val="none"/>
        </w:rPr>
      </w:pPr>
      <w:r>
        <w:rPr>
          <w:rFonts w:hint="eastAsia"/>
          <w:sz w:val="24"/>
          <w:highlight w:val="none"/>
        </w:rPr>
        <w:t>开户银行：恒丰银行青岛分行崂山支行</w:t>
      </w:r>
    </w:p>
    <w:p>
      <w:pPr>
        <w:pStyle w:val="192"/>
        <w:spacing w:line="360" w:lineRule="auto"/>
        <w:ind w:firstLine="480"/>
        <w:rPr>
          <w:rFonts w:ascii="Calibri" w:hAnsi="Calibri"/>
          <w:szCs w:val="24"/>
          <w:highlight w:val="none"/>
        </w:rPr>
      </w:pPr>
    </w:p>
    <w:p>
      <w:pPr>
        <w:spacing w:line="360" w:lineRule="auto"/>
        <w:ind w:firstLine="435"/>
        <w:rPr>
          <w:rFonts w:hint="eastAsia" w:ascii="Calibri" w:hAnsi="Calibri"/>
          <w:sz w:val="24"/>
          <w:szCs w:val="24"/>
          <w:highlight w:val="none"/>
        </w:rPr>
      </w:pPr>
      <w:r>
        <w:rPr>
          <w:rFonts w:hint="eastAsia" w:ascii="Calibri" w:hAnsi="Calibri"/>
          <w:sz w:val="24"/>
          <w:szCs w:val="24"/>
          <w:highlight w:val="none"/>
        </w:rPr>
        <w:t>（3）托管人费用收入账户</w:t>
      </w:r>
    </w:p>
    <w:p>
      <w:pPr>
        <w:spacing w:line="360" w:lineRule="auto"/>
        <w:ind w:firstLine="435"/>
        <w:rPr>
          <w:rFonts w:hint="eastAsia" w:ascii="Calibri" w:hAnsi="Calibri" w:eastAsia="宋体"/>
          <w:sz w:val="24"/>
          <w:highlight w:val="none"/>
        </w:rPr>
      </w:pPr>
      <w:r>
        <w:rPr>
          <w:rFonts w:hint="eastAsia"/>
          <w:sz w:val="24"/>
          <w:highlight w:val="none"/>
        </w:rPr>
        <w:t xml:space="preserve">户名：他行银行理财类托管服务费 </w:t>
      </w:r>
    </w:p>
    <w:p>
      <w:pPr>
        <w:spacing w:line="360" w:lineRule="auto"/>
        <w:ind w:firstLine="435"/>
        <w:rPr>
          <w:sz w:val="24"/>
          <w:highlight w:val="none"/>
        </w:rPr>
      </w:pPr>
      <w:r>
        <w:rPr>
          <w:rFonts w:hint="eastAsia"/>
          <w:sz w:val="24"/>
          <w:highlight w:val="none"/>
        </w:rPr>
        <w:t>账号：C110160</w:t>
      </w:r>
    </w:p>
    <w:p>
      <w:pPr>
        <w:pStyle w:val="18"/>
        <w:spacing w:before="0" w:after="0" w:line="360" w:lineRule="auto"/>
        <w:ind w:left="0" w:firstLine="480" w:firstLineChars="200"/>
        <w:rPr>
          <w:rFonts w:ascii="楷体" w:hAnsi="楷体" w:eastAsia="楷体"/>
          <w:highlight w:val="none"/>
        </w:rPr>
      </w:pPr>
      <w:r>
        <w:rPr>
          <w:rFonts w:hint="eastAsia"/>
          <w:highlight w:val="none"/>
        </w:rPr>
        <w:t>开户银行：</w:t>
      </w:r>
      <w:r>
        <w:rPr>
          <w:rFonts w:hint="eastAsia"/>
          <w:highlight w:val="none"/>
          <w:lang w:eastAsia="zh-CN"/>
        </w:rPr>
        <w:t>中国民生银行</w:t>
      </w:r>
      <w:r>
        <w:rPr>
          <w:rFonts w:hint="eastAsia"/>
          <w:highlight w:val="none"/>
        </w:rPr>
        <w:t xml:space="preserve"> </w:t>
      </w:r>
    </w:p>
    <w:p>
      <w:pPr>
        <w:pStyle w:val="18"/>
        <w:spacing w:before="0" w:after="0" w:line="360" w:lineRule="auto"/>
        <w:ind w:left="0" w:firstLine="480" w:firstLineChars="200"/>
        <w:rPr>
          <w:rFonts w:hint="eastAsia" w:ascii="楷体" w:hAnsi="楷体" w:eastAsia="宋体"/>
          <w:szCs w:val="24"/>
          <w:highlight w:val="none"/>
          <w:lang w:val="en-US" w:eastAsia="zh-CN"/>
        </w:rPr>
      </w:pPr>
      <w:r>
        <w:rPr>
          <w:rFonts w:hint="eastAsia"/>
          <w:highlight w:val="none"/>
        </w:rPr>
        <w:t>大额支付号：</w:t>
      </w:r>
      <w:r>
        <w:rPr>
          <w:rFonts w:hint="eastAsia"/>
          <w:highlight w:val="none"/>
          <w:lang w:val="en-US" w:eastAsia="zh-CN"/>
        </w:rPr>
        <w:t>/</w:t>
      </w:r>
    </w:p>
    <w:p>
      <w:pPr>
        <w:spacing w:line="360" w:lineRule="auto"/>
        <w:ind w:firstLine="435"/>
        <w:rPr>
          <w:sz w:val="24"/>
          <w:highlight w:val="none"/>
        </w:rPr>
      </w:pPr>
    </w:p>
    <w:p>
      <w:pPr>
        <w:pStyle w:val="6"/>
        <w:ind w:firstLine="0"/>
        <w:jc w:val="left"/>
        <w:rPr>
          <w:b/>
          <w:sz w:val="28"/>
          <w:szCs w:val="28"/>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楷体">
    <w:altName w:val="宋体"/>
    <w:panose1 w:val="02010600040101010101"/>
    <w:charset w:val="86"/>
    <w:family w:val="auto"/>
    <w:pitch w:val="default"/>
    <w:sig w:usb0="00000000" w:usb1="00000000" w:usb2="00000000" w:usb3="00000000" w:csb0="0004009F" w:csb1="DFD70000"/>
  </w:font>
  <w:font w:name="CMKVUO+·ÂËÎ_GB2312">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napToGrid/>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y3/S1AAAAAUBAAAPAAAAAAAAAAEAIAAAACIAAABkcnMvZG93bnJldi54bWxQSwEC&#10;FAAUAAAACACHTuJALieh6jECAABZBAAADgAAAAAAAAABACAAAAAjAQAAZHJzL2Uyb0RvYy54bWxQ&#10;SwUGAAAAAAYABgBZAQAAxg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napToGrid/>
      <w:rPr>
        <w:szCs w:val="21"/>
      </w:rPr>
    </w:pPr>
    <w:r>
      <w:rPr>
        <w:rFonts w:hint="eastAsia"/>
        <w:b/>
        <w:sz w:val="21"/>
        <w:szCs w:val="21"/>
        <w:u w:val="single"/>
      </w:rPr>
      <w:t>恒丰理财理财产品托管协议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
      <w:numFmt w:val="decimal"/>
      <w:lvlText w:val="%1)"/>
      <w:lvlJc w:val="left"/>
      <w:pPr>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decimal"/>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w w:val="0"/>
        <w:position w:val="0"/>
        <w:sz w:val="24"/>
        <w:szCs w:val="24"/>
        <w:u w:val="none"/>
        <w:vertAlign w:val="baseline"/>
      </w:rPr>
    </w:lvl>
    <w:lvl w:ilvl="1" w:tentative="0">
      <w:start w:val="1"/>
      <w:numFmt w:val="lowerLetter"/>
      <w:lvlText w:val="%2)"/>
      <w:lvlJc w:val="left"/>
      <w:pPr>
        <w:ind w:left="1015" w:hanging="420"/>
      </w:pPr>
    </w:lvl>
    <w:lvl w:ilvl="2" w:tentative="0">
      <w:start w:val="1"/>
      <w:numFmt w:val="lowerRoman"/>
      <w:lvlText w:val="%3."/>
      <w:lvlJc w:val="right"/>
      <w:pPr>
        <w:ind w:left="1435" w:hanging="420"/>
      </w:pPr>
    </w:lvl>
    <w:lvl w:ilvl="3" w:tentative="0">
      <w:start w:val="1"/>
      <w:numFmt w:val="decimal"/>
      <w:lvlText w:val="%4."/>
      <w:lvlJc w:val="left"/>
      <w:pPr>
        <w:ind w:left="1855" w:hanging="420"/>
      </w:pPr>
    </w:lvl>
    <w:lvl w:ilvl="4" w:tentative="0">
      <w:start w:val="1"/>
      <w:numFmt w:val="lowerLetter"/>
      <w:lvlText w:val="%5)"/>
      <w:lvlJc w:val="left"/>
      <w:pPr>
        <w:ind w:left="2275" w:hanging="420"/>
      </w:pPr>
    </w:lvl>
    <w:lvl w:ilvl="5" w:tentative="0">
      <w:start w:val="1"/>
      <w:numFmt w:val="lowerRoman"/>
      <w:lvlText w:val="%6."/>
      <w:lvlJc w:val="right"/>
      <w:pPr>
        <w:ind w:left="2695" w:hanging="420"/>
      </w:pPr>
    </w:lvl>
    <w:lvl w:ilvl="6" w:tentative="0">
      <w:start w:val="1"/>
      <w:numFmt w:val="decimal"/>
      <w:lvlText w:val="%7."/>
      <w:lvlJc w:val="left"/>
      <w:pPr>
        <w:ind w:left="3115" w:hanging="420"/>
      </w:pPr>
    </w:lvl>
    <w:lvl w:ilvl="7" w:tentative="0">
      <w:start w:val="1"/>
      <w:numFmt w:val="lowerLetter"/>
      <w:lvlText w:val="%8)"/>
      <w:lvlJc w:val="left"/>
      <w:pPr>
        <w:ind w:left="3535" w:hanging="420"/>
      </w:pPr>
    </w:lvl>
    <w:lvl w:ilvl="8" w:tentative="0">
      <w:start w:val="1"/>
      <w:numFmt w:val="lowerRoman"/>
      <w:lvlText w:val="%9."/>
      <w:lvlJc w:val="right"/>
      <w:pPr>
        <w:ind w:left="3955" w:hanging="420"/>
      </w:pPr>
    </w:lvl>
  </w:abstractNum>
  <w:abstractNum w:abstractNumId="2">
    <w:nsid w:val="CF092B84"/>
    <w:multiLevelType w:val="multilevel"/>
    <w:tmpl w:val="CF092B84"/>
    <w:lvl w:ilvl="0" w:tentative="0">
      <w:start w:val="1"/>
      <w:numFmt w:val="chineseCountingThousand"/>
      <w:suff w:val="space"/>
      <w:lvlText w:val="第%1条"/>
      <w:lvlJc w:val="center"/>
      <w:pPr>
        <w:ind w:left="432" w:hanging="144"/>
      </w:pPr>
      <w:rPr>
        <w:rFonts w:hint="eastAsia"/>
      </w:rPr>
    </w:lvl>
    <w:lvl w:ilvl="1" w:tentative="0">
      <w:start w:val="1"/>
      <w:numFmt w:val="decimal"/>
      <w:pStyle w:val="4"/>
      <w:isLgl/>
      <w:suff w:val="space"/>
      <w:lvlText w:val="%1.%2"/>
      <w:lvlJc w:val="left"/>
      <w:pPr>
        <w:ind w:left="1296" w:hanging="576"/>
      </w:pPr>
      <w:rPr>
        <w:rFonts w:hint="eastAsia"/>
        <w:b/>
      </w:rPr>
    </w:lvl>
    <w:lvl w:ilvl="2" w:tentative="0">
      <w:start w:val="1"/>
      <w:numFmt w:val="decimal"/>
      <w:pStyle w:val="5"/>
      <w:isLgl/>
      <w:suff w:val="space"/>
      <w:lvlText w:val="%1.%2.%3"/>
      <w:lvlJc w:val="left"/>
      <w:pPr>
        <w:ind w:left="4123" w:hanging="720"/>
      </w:pPr>
      <w:rPr>
        <w:rFonts w:hint="eastAsia" w:ascii="Calibri" w:hAnsi="Calibri"/>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DCBA6B53"/>
    <w:multiLevelType w:val="multilevel"/>
    <w:tmpl w:val="DCBA6B53"/>
    <w:lvl w:ilvl="0" w:tentative="0">
      <w:start w:val="1"/>
      <w:numFmt w:val="decimal"/>
      <w:lvlText w:val="%1)"/>
      <w:lvlJc w:val="left"/>
      <w:pPr>
        <w:ind w:left="420" w:hanging="420"/>
      </w:pPr>
      <w:rPr>
        <w:rFonts w:hint="default" w:ascii="Times New Roman" w:hAnsi="Times New Roman" w:cs="Times New Roman"/>
        <w:b w:val="0"/>
        <w:bCs w:val="0"/>
        <w:i w:val="0"/>
        <w:iCs w:val="0"/>
        <w:caps w:val="0"/>
        <w:smallCaps w:val="0"/>
        <w:strike w:val="0"/>
        <w:dstrike w:val="0"/>
        <w:vanish w:val="0"/>
        <w:color w:val="000000"/>
        <w:spacing w:val="0"/>
        <w:w w:val="0"/>
        <w:position w:val="0"/>
        <w:sz w:val="24"/>
        <w:szCs w:val="24"/>
        <w:u w:val="none"/>
        <w:vertAlign w:val="baseline"/>
      </w:rPr>
    </w:lvl>
    <w:lvl w:ilvl="1" w:tentative="0">
      <w:start w:val="1"/>
      <w:numFmt w:val="lowerLetter"/>
      <w:lvlText w:val="%2)"/>
      <w:lvlJc w:val="left"/>
      <w:pPr>
        <w:ind w:left="1015" w:hanging="420"/>
      </w:pPr>
    </w:lvl>
    <w:lvl w:ilvl="2" w:tentative="0">
      <w:start w:val="1"/>
      <w:numFmt w:val="lowerRoman"/>
      <w:lvlText w:val="%3."/>
      <w:lvlJc w:val="right"/>
      <w:pPr>
        <w:ind w:left="1435" w:hanging="420"/>
      </w:pPr>
    </w:lvl>
    <w:lvl w:ilvl="3" w:tentative="0">
      <w:start w:val="1"/>
      <w:numFmt w:val="decimal"/>
      <w:lvlText w:val="%4."/>
      <w:lvlJc w:val="left"/>
      <w:pPr>
        <w:ind w:left="1855" w:hanging="420"/>
      </w:pPr>
    </w:lvl>
    <w:lvl w:ilvl="4" w:tentative="0">
      <w:start w:val="1"/>
      <w:numFmt w:val="lowerLetter"/>
      <w:lvlText w:val="%5)"/>
      <w:lvlJc w:val="left"/>
      <w:pPr>
        <w:ind w:left="2275" w:hanging="420"/>
      </w:pPr>
    </w:lvl>
    <w:lvl w:ilvl="5" w:tentative="0">
      <w:start w:val="1"/>
      <w:numFmt w:val="lowerRoman"/>
      <w:lvlText w:val="%6."/>
      <w:lvlJc w:val="right"/>
      <w:pPr>
        <w:ind w:left="2695" w:hanging="420"/>
      </w:pPr>
    </w:lvl>
    <w:lvl w:ilvl="6" w:tentative="0">
      <w:start w:val="1"/>
      <w:numFmt w:val="decimal"/>
      <w:lvlText w:val="%7."/>
      <w:lvlJc w:val="left"/>
      <w:pPr>
        <w:ind w:left="3115" w:hanging="420"/>
      </w:pPr>
    </w:lvl>
    <w:lvl w:ilvl="7" w:tentative="0">
      <w:start w:val="1"/>
      <w:numFmt w:val="lowerLetter"/>
      <w:lvlText w:val="%8)"/>
      <w:lvlJc w:val="left"/>
      <w:pPr>
        <w:ind w:left="3535" w:hanging="420"/>
      </w:pPr>
    </w:lvl>
    <w:lvl w:ilvl="8" w:tentative="0">
      <w:start w:val="1"/>
      <w:numFmt w:val="lowerRoman"/>
      <w:lvlText w:val="%9."/>
      <w:lvlJc w:val="right"/>
      <w:pPr>
        <w:ind w:left="3955" w:hanging="420"/>
      </w:pPr>
    </w:lvl>
  </w:abstractNum>
  <w:abstractNum w:abstractNumId="4">
    <w:nsid w:val="0053208E"/>
    <w:multiLevelType w:val="multilevel"/>
    <w:tmpl w:val="0053208E"/>
    <w:lvl w:ilvl="0" w:tentative="0">
      <w:start w:val="1"/>
      <w:numFmt w:val="chineseCountingThousand"/>
      <w:pStyle w:val="3"/>
      <w:lvlText w:val="%1、"/>
      <w:lvlJc w:val="left"/>
      <w:pPr>
        <w:ind w:left="420" w:hanging="420"/>
      </w:pPr>
      <w:rPr>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470EC97"/>
    <w:multiLevelType w:val="multilevel"/>
    <w:tmpl w:val="2470EC97"/>
    <w:lvl w:ilvl="0" w:tentative="0">
      <w:start w:val="2"/>
      <w:numFmt w:val="decimal"/>
      <w:lvlText w:val="%1)"/>
      <w:lvlJc w:val="left"/>
      <w:pPr>
        <w:tabs>
          <w:tab w:val="left" w:pos="420"/>
        </w:tabs>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4C1BAE26"/>
    <w:multiLevelType w:val="multilevel"/>
    <w:tmpl w:val="4C1BAE26"/>
    <w:lvl w:ilvl="0" w:tentative="0">
      <w:start w:val="4"/>
      <w:numFmt w:val="chineseCounting"/>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59ADCABA"/>
    <w:multiLevelType w:val="multilevel"/>
    <w:tmpl w:val="59ADCABA"/>
    <w:lvl w:ilvl="0" w:tentative="0">
      <w:start w:val="1"/>
      <w:numFmt w:val="decimal"/>
      <w:pStyle w:val="7"/>
      <w:lvlText w:val="%1)"/>
      <w:lvlJc w:val="left"/>
      <w:pPr>
        <w:ind w:left="420" w:hanging="420"/>
      </w:pPr>
      <w:rPr>
        <w:rFonts w:hint="default" w:ascii="Times New Roman" w:hAnsi="Times New Roman" w:cs="Times New Roman"/>
        <w:b w:val="0"/>
        <w:bCs w:val="0"/>
        <w:i w:val="0"/>
        <w:iCs w:val="0"/>
        <w:caps w:val="0"/>
        <w:smallCaps w:val="0"/>
        <w:strike w:val="0"/>
        <w:dstrike w:val="0"/>
        <w:vanish w:val="0"/>
        <w:color w:val="000000"/>
        <w:spacing w:val="0"/>
        <w:w w:val="0"/>
        <w:position w:val="0"/>
        <w:sz w:val="24"/>
        <w:szCs w:val="24"/>
        <w:u w:val="none"/>
        <w:vertAlign w:val="baseline"/>
      </w:rPr>
    </w:lvl>
    <w:lvl w:ilvl="1" w:tentative="0">
      <w:start w:val="1"/>
      <w:numFmt w:val="lowerLetter"/>
      <w:lvlText w:val="%2)"/>
      <w:lvlJc w:val="left"/>
      <w:pPr>
        <w:ind w:left="1015" w:hanging="420"/>
      </w:pPr>
    </w:lvl>
    <w:lvl w:ilvl="2" w:tentative="0">
      <w:start w:val="1"/>
      <w:numFmt w:val="lowerRoman"/>
      <w:lvlText w:val="%3."/>
      <w:lvlJc w:val="right"/>
      <w:pPr>
        <w:ind w:left="1435" w:hanging="420"/>
      </w:pPr>
    </w:lvl>
    <w:lvl w:ilvl="3" w:tentative="0">
      <w:start w:val="1"/>
      <w:numFmt w:val="decimal"/>
      <w:lvlText w:val="%4."/>
      <w:lvlJc w:val="left"/>
      <w:pPr>
        <w:ind w:left="1855" w:hanging="420"/>
      </w:pPr>
    </w:lvl>
    <w:lvl w:ilvl="4" w:tentative="0">
      <w:start w:val="1"/>
      <w:numFmt w:val="lowerLetter"/>
      <w:lvlText w:val="%5)"/>
      <w:lvlJc w:val="left"/>
      <w:pPr>
        <w:ind w:left="2275" w:hanging="420"/>
      </w:pPr>
    </w:lvl>
    <w:lvl w:ilvl="5" w:tentative="0">
      <w:start w:val="1"/>
      <w:numFmt w:val="lowerRoman"/>
      <w:lvlText w:val="%6."/>
      <w:lvlJc w:val="right"/>
      <w:pPr>
        <w:ind w:left="2695" w:hanging="420"/>
      </w:pPr>
    </w:lvl>
    <w:lvl w:ilvl="6" w:tentative="0">
      <w:start w:val="1"/>
      <w:numFmt w:val="decimal"/>
      <w:lvlText w:val="%7."/>
      <w:lvlJc w:val="left"/>
      <w:pPr>
        <w:ind w:left="3115" w:hanging="420"/>
      </w:pPr>
    </w:lvl>
    <w:lvl w:ilvl="7" w:tentative="0">
      <w:start w:val="1"/>
      <w:numFmt w:val="lowerLetter"/>
      <w:lvlText w:val="%8)"/>
      <w:lvlJc w:val="left"/>
      <w:pPr>
        <w:ind w:left="3535" w:hanging="420"/>
      </w:pPr>
    </w:lvl>
    <w:lvl w:ilvl="8" w:tentative="0">
      <w:start w:val="1"/>
      <w:numFmt w:val="lowerRoman"/>
      <w:lvlText w:val="%9."/>
      <w:lvlJc w:val="right"/>
      <w:pPr>
        <w:ind w:left="3955" w:hanging="420"/>
      </w:pPr>
    </w:lvl>
  </w:abstractNum>
  <w:abstractNum w:abstractNumId="8">
    <w:nsid w:val="5D387033"/>
    <w:multiLevelType w:val="multilevel"/>
    <w:tmpl w:val="5D387033"/>
    <w:lvl w:ilvl="0" w:tentative="0">
      <w:start w:val="1"/>
      <w:numFmt w:val="chineseCountingThousand"/>
      <w:suff w:val="space"/>
      <w:lvlText w:val="第%1条"/>
      <w:lvlJc w:val="center"/>
      <w:pPr>
        <w:snapToGrid/>
        <w:ind w:left="432" w:hanging="144"/>
      </w:pPr>
      <w:rPr>
        <w:rFonts w:hint="eastAsia"/>
      </w:rPr>
    </w:lvl>
    <w:lvl w:ilvl="1" w:tentative="0">
      <w:start w:val="1"/>
      <w:numFmt w:val="decimal"/>
      <w:isLgl/>
      <w:suff w:val="space"/>
      <w:lvlText w:val="%1.%2"/>
      <w:lvlJc w:val="left"/>
      <w:pPr>
        <w:snapToGrid/>
        <w:ind w:left="1296" w:hanging="576"/>
      </w:pPr>
      <w:rPr>
        <w:rFonts w:hint="eastAsia"/>
        <w:b/>
      </w:rPr>
    </w:lvl>
    <w:lvl w:ilvl="2" w:tentative="0">
      <w:start w:val="1"/>
      <w:numFmt w:val="decimal"/>
      <w:isLgl/>
      <w:suff w:val="space"/>
      <w:lvlText w:val="%1.%2.%3"/>
      <w:lvlJc w:val="left"/>
      <w:pPr>
        <w:snapToGrid/>
        <w:ind w:left="4123" w:hanging="720"/>
      </w:pPr>
      <w:rPr>
        <w:rFonts w:hint="eastAsia" w:ascii="Calibri" w:hAnsi="Calibri"/>
      </w:rPr>
    </w:lvl>
    <w:lvl w:ilvl="3" w:tentative="0">
      <w:start w:val="1"/>
      <w:numFmt w:val="decimal"/>
      <w:isLgl/>
      <w:suff w:val="space"/>
      <w:lvlText w:val="%1.%2.%3.%4"/>
      <w:lvlJc w:val="left"/>
      <w:pPr>
        <w:snapToGrid/>
        <w:ind w:left="864" w:hanging="864"/>
      </w:pPr>
      <w:rPr>
        <w:rFonts w:hint="eastAsia"/>
      </w:rPr>
    </w:lvl>
    <w:lvl w:ilvl="4" w:tentative="0">
      <w:start w:val="1"/>
      <w:numFmt w:val="decimal"/>
      <w:isLgl/>
      <w:suff w:val="space"/>
      <w:lvlText w:val="%1.%2.%3.%4.%5"/>
      <w:lvlJc w:val="left"/>
      <w:pPr>
        <w:snapToGrid/>
        <w:ind w:left="1008" w:hanging="1008"/>
      </w:pPr>
      <w:rPr>
        <w:rFonts w:hint="eastAsia"/>
      </w:rPr>
    </w:lvl>
    <w:lvl w:ilvl="5" w:tentative="0">
      <w:start w:val="1"/>
      <w:numFmt w:val="decimal"/>
      <w:lvlText w:val="%1.%2.%3.%4.%5.%6"/>
      <w:lvlJc w:val="left"/>
      <w:pPr>
        <w:tabs>
          <w:tab w:val="left" w:pos="1152"/>
        </w:tabs>
        <w:snapToGrid/>
        <w:ind w:left="1152" w:hanging="1152"/>
      </w:pPr>
      <w:rPr>
        <w:rFonts w:hint="eastAsia"/>
      </w:rPr>
    </w:lvl>
    <w:lvl w:ilvl="6" w:tentative="0">
      <w:start w:val="1"/>
      <w:numFmt w:val="decimal"/>
      <w:lvlText w:val="%1.%2.%3.%4.%5.%6.%7"/>
      <w:lvlJc w:val="left"/>
      <w:pPr>
        <w:tabs>
          <w:tab w:val="left" w:pos="1296"/>
        </w:tabs>
        <w:snapToGrid/>
        <w:ind w:left="1296" w:hanging="1296"/>
      </w:pPr>
      <w:rPr>
        <w:rFonts w:hint="eastAsia"/>
      </w:rPr>
    </w:lvl>
    <w:lvl w:ilvl="7" w:tentative="0">
      <w:start w:val="1"/>
      <w:numFmt w:val="decimal"/>
      <w:lvlText w:val="%1.%2.%3.%4.%5.%6.%7.%8"/>
      <w:lvlJc w:val="left"/>
      <w:pPr>
        <w:tabs>
          <w:tab w:val="left" w:pos="1440"/>
        </w:tabs>
        <w:snapToGrid/>
        <w:ind w:left="1440" w:hanging="1440"/>
      </w:pPr>
      <w:rPr>
        <w:rFonts w:hint="eastAsia"/>
      </w:rPr>
    </w:lvl>
    <w:lvl w:ilvl="8" w:tentative="0">
      <w:start w:val="1"/>
      <w:numFmt w:val="decimal"/>
      <w:lvlText w:val="%1.%2.%3.%4.%5.%6.%7.%8.%9"/>
      <w:lvlJc w:val="left"/>
      <w:pPr>
        <w:tabs>
          <w:tab w:val="left" w:pos="1584"/>
        </w:tabs>
        <w:snapToGrid/>
        <w:ind w:left="1584" w:hanging="1584"/>
      </w:pPr>
      <w:rPr>
        <w:rFonts w:hint="eastAsia"/>
      </w:rPr>
    </w:lvl>
  </w:abstractNum>
  <w:abstractNum w:abstractNumId="9">
    <w:nsid w:val="72183CF9"/>
    <w:multiLevelType w:val="multilevel"/>
    <w:tmpl w:val="72183CF9"/>
    <w:lvl w:ilvl="0" w:tentative="0">
      <w:start w:val="1"/>
      <w:numFmt w:val="lowerLetter"/>
      <w:lvlText w:val="%1."/>
      <w:lvlJc w:val="left"/>
      <w:pPr>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4"/>
  </w:num>
  <w:num w:numId="2">
    <w:abstractNumId w:val="2"/>
  </w:num>
  <w:num w:numId="3">
    <w:abstractNumId w:val="7"/>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9"/>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5"/>
  </w:num>
  <w:num w:numId="16">
    <w:abstractNumId w:val="3"/>
  </w:num>
  <w:num w:numId="17">
    <w:abstractNumId w:val="8"/>
  </w:num>
  <w:num w:numId="18">
    <w:abstractNumId w:val="1"/>
    <w:lvlOverride w:ilvl="0">
      <w:startOverride w:val="1"/>
    </w:lvlOverride>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C4"/>
    <w:rsid w:val="000049D1"/>
    <w:rsid w:val="00012B75"/>
    <w:rsid w:val="0016660A"/>
    <w:rsid w:val="002157C9"/>
    <w:rsid w:val="002A60BE"/>
    <w:rsid w:val="003A0A7E"/>
    <w:rsid w:val="003E150E"/>
    <w:rsid w:val="00497D47"/>
    <w:rsid w:val="004B1733"/>
    <w:rsid w:val="004B5026"/>
    <w:rsid w:val="004C18E6"/>
    <w:rsid w:val="004F48E9"/>
    <w:rsid w:val="005145CB"/>
    <w:rsid w:val="00551AD5"/>
    <w:rsid w:val="00560371"/>
    <w:rsid w:val="0056041B"/>
    <w:rsid w:val="005A3A1A"/>
    <w:rsid w:val="005B53FB"/>
    <w:rsid w:val="005C79A6"/>
    <w:rsid w:val="00621CC4"/>
    <w:rsid w:val="00627858"/>
    <w:rsid w:val="007762FE"/>
    <w:rsid w:val="00810FE7"/>
    <w:rsid w:val="00813268"/>
    <w:rsid w:val="00815C8D"/>
    <w:rsid w:val="00834D51"/>
    <w:rsid w:val="008973D6"/>
    <w:rsid w:val="008B5E7D"/>
    <w:rsid w:val="00915EB3"/>
    <w:rsid w:val="0092160B"/>
    <w:rsid w:val="00954CA5"/>
    <w:rsid w:val="00997CB5"/>
    <w:rsid w:val="009C7D9E"/>
    <w:rsid w:val="00AA447B"/>
    <w:rsid w:val="00AF5C08"/>
    <w:rsid w:val="00B87F64"/>
    <w:rsid w:val="00BB6C27"/>
    <w:rsid w:val="00C37ACC"/>
    <w:rsid w:val="00CB1AD9"/>
    <w:rsid w:val="00D9520D"/>
    <w:rsid w:val="00DB5CC6"/>
    <w:rsid w:val="00E551B1"/>
    <w:rsid w:val="00E60888"/>
    <w:rsid w:val="00E63580"/>
    <w:rsid w:val="00E7793D"/>
    <w:rsid w:val="00E82EBF"/>
    <w:rsid w:val="00EC36E5"/>
    <w:rsid w:val="00ED33B4"/>
    <w:rsid w:val="00EE6AD8"/>
    <w:rsid w:val="00F128D2"/>
    <w:rsid w:val="00F35297"/>
    <w:rsid w:val="00F87813"/>
    <w:rsid w:val="00F92E7D"/>
    <w:rsid w:val="00FB31B7"/>
    <w:rsid w:val="00FE4436"/>
    <w:rsid w:val="02993855"/>
    <w:rsid w:val="08C13279"/>
    <w:rsid w:val="0B3520DA"/>
    <w:rsid w:val="0BE83B91"/>
    <w:rsid w:val="13067915"/>
    <w:rsid w:val="1573746B"/>
    <w:rsid w:val="15881363"/>
    <w:rsid w:val="159011B7"/>
    <w:rsid w:val="164D039B"/>
    <w:rsid w:val="1B047970"/>
    <w:rsid w:val="23CF2A39"/>
    <w:rsid w:val="2557426A"/>
    <w:rsid w:val="28AB3A9C"/>
    <w:rsid w:val="2BBE22D7"/>
    <w:rsid w:val="311E5200"/>
    <w:rsid w:val="3215371F"/>
    <w:rsid w:val="35A42D2F"/>
    <w:rsid w:val="3CF96F92"/>
    <w:rsid w:val="3D351AA6"/>
    <w:rsid w:val="3D651440"/>
    <w:rsid w:val="3D8F1598"/>
    <w:rsid w:val="3FDD39C2"/>
    <w:rsid w:val="40F27033"/>
    <w:rsid w:val="46BD07A7"/>
    <w:rsid w:val="490F4A6D"/>
    <w:rsid w:val="494F2A8E"/>
    <w:rsid w:val="4A345569"/>
    <w:rsid w:val="4BD42B02"/>
    <w:rsid w:val="4D05605E"/>
    <w:rsid w:val="4F176FE8"/>
    <w:rsid w:val="50144898"/>
    <w:rsid w:val="54AF2C6C"/>
    <w:rsid w:val="588E05A3"/>
    <w:rsid w:val="5BA91344"/>
    <w:rsid w:val="5C990525"/>
    <w:rsid w:val="5CE730B3"/>
    <w:rsid w:val="5E565A8E"/>
    <w:rsid w:val="62A80960"/>
    <w:rsid w:val="6A472CFE"/>
    <w:rsid w:val="6D62450F"/>
    <w:rsid w:val="6E863F7D"/>
    <w:rsid w:val="79F2533F"/>
    <w:rsid w:val="7DCC55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Calibri" w:hAnsi="Calibri" w:eastAsia="宋体" w:cs="Calibri"/>
      <w:sz w:val="21"/>
      <w:szCs w:val="24"/>
      <w:lang w:val="en-US" w:eastAsia="zh-CN" w:bidi="ar-SA"/>
    </w:rPr>
  </w:style>
  <w:style w:type="paragraph" w:styleId="3">
    <w:name w:val="heading 1"/>
    <w:basedOn w:val="1"/>
    <w:next w:val="1"/>
    <w:qFormat/>
    <w:uiPriority w:val="0"/>
    <w:pPr>
      <w:keepNext/>
      <w:keepLines/>
      <w:numPr>
        <w:ilvl w:val="0"/>
        <w:numId w:val="1"/>
      </w:numPr>
      <w:spacing w:line="360" w:lineRule="auto"/>
      <w:outlineLvl w:val="0"/>
    </w:pPr>
    <w:rPr>
      <w:b/>
      <w:bCs/>
      <w:sz w:val="24"/>
    </w:rPr>
  </w:style>
  <w:style w:type="paragraph" w:styleId="4">
    <w:name w:val="heading 2"/>
    <w:basedOn w:val="1"/>
    <w:next w:val="1"/>
    <w:unhideWhenUsed/>
    <w:qFormat/>
    <w:uiPriority w:val="0"/>
    <w:pPr>
      <w:numPr>
        <w:ilvl w:val="1"/>
        <w:numId w:val="2"/>
      </w:numPr>
      <w:spacing w:line="360" w:lineRule="auto"/>
      <w:outlineLvl w:val="1"/>
    </w:pPr>
    <w:rPr>
      <w:bCs/>
      <w:sz w:val="24"/>
      <w:szCs w:val="32"/>
    </w:rPr>
  </w:style>
  <w:style w:type="paragraph" w:styleId="5">
    <w:name w:val="heading 3"/>
    <w:basedOn w:val="1"/>
    <w:next w:val="6"/>
    <w:unhideWhenUsed/>
    <w:qFormat/>
    <w:uiPriority w:val="0"/>
    <w:pPr>
      <w:numPr>
        <w:ilvl w:val="2"/>
        <w:numId w:val="2"/>
      </w:numPr>
      <w:spacing w:line="360" w:lineRule="auto"/>
      <w:ind w:left="0" w:firstLine="175"/>
      <w:outlineLvl w:val="2"/>
    </w:pPr>
    <w:rPr>
      <w:rFonts w:ascii="Times New Roman" w:hAnsi="Times New Roman"/>
      <w:bCs/>
      <w:sz w:val="24"/>
      <w:szCs w:val="32"/>
    </w:rPr>
  </w:style>
  <w:style w:type="paragraph" w:styleId="7">
    <w:name w:val="heading 4"/>
    <w:basedOn w:val="1"/>
    <w:next w:val="1"/>
    <w:link w:val="190"/>
    <w:unhideWhenUsed/>
    <w:qFormat/>
    <w:uiPriority w:val="0"/>
    <w:pPr>
      <w:keepNext/>
      <w:keepLines/>
      <w:numPr>
        <w:ilvl w:val="0"/>
        <w:numId w:val="3"/>
      </w:numPr>
      <w:spacing w:line="360" w:lineRule="auto"/>
      <w:outlineLvl w:val="3"/>
    </w:pPr>
    <w:rPr>
      <w:rFonts w:ascii="Calibri Light" w:hAnsi="Calibri Light" w:cs="Calibri Light"/>
      <w:bCs/>
      <w:sz w:val="24"/>
      <w:szCs w:val="28"/>
    </w:rPr>
  </w:style>
  <w:style w:type="paragraph" w:styleId="8">
    <w:name w:val="heading 5"/>
    <w:basedOn w:val="1"/>
    <w:next w:val="1"/>
    <w:link w:val="42"/>
    <w:unhideWhenUsed/>
    <w:qFormat/>
    <w:uiPriority w:val="9"/>
    <w:pPr>
      <w:keepNext/>
      <w:keepLines/>
      <w:spacing w:before="320" w:after="200"/>
      <w:outlineLvl w:val="4"/>
    </w:pPr>
    <w:rPr>
      <w:rFonts w:ascii="Arial" w:hAnsi="Arial" w:eastAsia="Arial" w:cs="Arial"/>
      <w:b/>
      <w:bCs/>
      <w:sz w:val="24"/>
    </w:rPr>
  </w:style>
  <w:style w:type="paragraph" w:styleId="9">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46"/>
    <w:unhideWhenUsed/>
    <w:qFormat/>
    <w:uiPriority w:val="9"/>
    <w:pPr>
      <w:keepNext/>
      <w:keepLines/>
      <w:spacing w:before="320" w:after="200"/>
      <w:outlineLvl w:val="8"/>
    </w:pPr>
    <w:rPr>
      <w:rFonts w:ascii="Arial" w:hAnsi="Arial" w:eastAsia="Arial" w:cs="Arial"/>
      <w:i/>
      <w:iCs/>
      <w:szCs w:val="21"/>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2">
    <w:name w:val="Balloon Text"/>
    <w:basedOn w:val="1"/>
    <w:link w:val="184"/>
    <w:qFormat/>
    <w:uiPriority w:val="0"/>
    <w:rPr>
      <w:sz w:val="18"/>
      <w:szCs w:val="18"/>
    </w:rPr>
  </w:style>
  <w:style w:type="paragraph" w:styleId="6">
    <w:name w:val="Normal Indent"/>
    <w:basedOn w:val="1"/>
    <w:qFormat/>
    <w:uiPriority w:val="0"/>
    <w:pPr>
      <w:ind w:firstLine="200"/>
    </w:pPr>
  </w:style>
  <w:style w:type="paragraph" w:styleId="13">
    <w:name w:val="toc 7"/>
    <w:basedOn w:val="1"/>
    <w:next w:val="1"/>
    <w:unhideWhenUsed/>
    <w:qFormat/>
    <w:uiPriority w:val="39"/>
    <w:pPr>
      <w:spacing w:after="57"/>
      <w:ind w:left="1701"/>
    </w:pPr>
  </w:style>
  <w:style w:type="paragraph" w:styleId="14">
    <w:name w:val="annotation text"/>
    <w:basedOn w:val="1"/>
    <w:link w:val="186"/>
    <w:qFormat/>
    <w:uiPriority w:val="0"/>
    <w:pPr>
      <w:jc w:val="left"/>
    </w:p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Body Text Indent 2"/>
    <w:basedOn w:val="1"/>
    <w:link w:val="215"/>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before="60" w:after="60"/>
      <w:ind w:left="479"/>
    </w:pPr>
    <w:rPr>
      <w:rFonts w:ascii="宋体" w:hAnsi="Times New Roman" w:cs="Times New Roman"/>
      <w:kern w:val="2"/>
      <w:sz w:val="24"/>
      <w:szCs w:val="20"/>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link w:val="19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style>
  <w:style w:type="paragraph" w:styleId="22">
    <w:name w:val="toc 4"/>
    <w:basedOn w:val="1"/>
    <w:next w:val="1"/>
    <w:unhideWhenUsed/>
    <w:qFormat/>
    <w:uiPriority w:val="39"/>
    <w:pPr>
      <w:spacing w:after="57"/>
      <w:ind w:left="850"/>
    </w:pPr>
  </w:style>
  <w:style w:type="paragraph" w:styleId="23">
    <w:name w:val="Subtitle"/>
    <w:basedOn w:val="1"/>
    <w:next w:val="1"/>
    <w:link w:val="50"/>
    <w:qFormat/>
    <w:uiPriority w:val="11"/>
    <w:pPr>
      <w:spacing w:before="200" w:after="200"/>
    </w:pPr>
    <w:rPr>
      <w:sz w:val="24"/>
    </w:rPr>
  </w:style>
  <w:style w:type="paragraph" w:styleId="24">
    <w:name w:val="footnote text"/>
    <w:basedOn w:val="1"/>
    <w:link w:val="182"/>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Normal (Web)"/>
    <w:basedOn w:val="1"/>
    <w:qFormat/>
    <w:uiPriority w:val="0"/>
    <w:pPr>
      <w:spacing w:beforeAutospacing="1" w:afterAutospacing="1"/>
      <w:jc w:val="left"/>
    </w:pPr>
    <w:rPr>
      <w:rFonts w:cs="Times New Roman"/>
      <w:sz w:val="24"/>
    </w:rPr>
  </w:style>
  <w:style w:type="paragraph" w:styleId="29">
    <w:name w:val="Title"/>
    <w:basedOn w:val="1"/>
    <w:next w:val="1"/>
    <w:link w:val="188"/>
    <w:qFormat/>
    <w:uiPriority w:val="0"/>
    <w:pPr>
      <w:spacing w:before="240" w:after="60"/>
      <w:jc w:val="center"/>
      <w:outlineLvl w:val="0"/>
    </w:pPr>
    <w:rPr>
      <w:rFonts w:ascii="Calibri Light" w:hAnsi="Calibri Light" w:cs="Calibri Light"/>
      <w:b/>
      <w:bCs/>
      <w:sz w:val="32"/>
      <w:szCs w:val="32"/>
    </w:rPr>
  </w:style>
  <w:style w:type="paragraph" w:styleId="30">
    <w:name w:val="annotation subject"/>
    <w:basedOn w:val="14"/>
    <w:next w:val="14"/>
    <w:link w:val="187"/>
    <w:qFormat/>
    <w:uiPriority w:val="0"/>
    <w:rPr>
      <w:b/>
      <w:bCs/>
    </w:rPr>
  </w:style>
  <w:style w:type="table" w:styleId="32">
    <w:name w:val="Table Grid"/>
    <w:basedOn w:val="31"/>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34">
    <w:name w:val="FollowedHyperlink"/>
    <w:basedOn w:val="33"/>
    <w:unhideWhenUsed/>
    <w:qFormat/>
    <w:uiPriority w:val="0"/>
    <w:rPr>
      <w:color w:val="3894C1"/>
      <w:u w:val="none"/>
    </w:rPr>
  </w:style>
  <w:style w:type="character" w:styleId="35">
    <w:name w:val="Hyperlink"/>
    <w:basedOn w:val="33"/>
    <w:unhideWhenUsed/>
    <w:qFormat/>
    <w:uiPriority w:val="99"/>
    <w:rPr>
      <w:color w:val="3894C1"/>
      <w:u w:val="none"/>
    </w:rPr>
  </w:style>
  <w:style w:type="character" w:styleId="36">
    <w:name w:val="annotation reference"/>
    <w:qFormat/>
    <w:uiPriority w:val="0"/>
    <w:rPr>
      <w:sz w:val="21"/>
      <w:szCs w:val="21"/>
    </w:rPr>
  </w:style>
  <w:style w:type="character" w:styleId="37">
    <w:name w:val="footnote reference"/>
    <w:basedOn w:val="33"/>
    <w:unhideWhenUsed/>
    <w:qFormat/>
    <w:uiPriority w:val="99"/>
    <w:rPr>
      <w:vertAlign w:val="superscript"/>
    </w:rPr>
  </w:style>
  <w:style w:type="character" w:customStyle="1" w:styleId="38">
    <w:name w:val="Heading 1 Char"/>
    <w:basedOn w:val="33"/>
    <w:qFormat/>
    <w:uiPriority w:val="9"/>
    <w:rPr>
      <w:rFonts w:ascii="Arial" w:hAnsi="Arial" w:eastAsia="Arial" w:cs="Arial"/>
      <w:sz w:val="40"/>
      <w:szCs w:val="40"/>
    </w:rPr>
  </w:style>
  <w:style w:type="character" w:customStyle="1" w:styleId="39">
    <w:name w:val="Heading 2 Char"/>
    <w:basedOn w:val="33"/>
    <w:qFormat/>
    <w:uiPriority w:val="9"/>
    <w:rPr>
      <w:rFonts w:ascii="Arial" w:hAnsi="Arial" w:eastAsia="Arial" w:cs="Arial"/>
      <w:sz w:val="34"/>
    </w:rPr>
  </w:style>
  <w:style w:type="character" w:customStyle="1" w:styleId="40">
    <w:name w:val="Heading 3 Char"/>
    <w:basedOn w:val="33"/>
    <w:qFormat/>
    <w:uiPriority w:val="9"/>
    <w:rPr>
      <w:rFonts w:ascii="Arial" w:hAnsi="Arial" w:eastAsia="Arial" w:cs="Arial"/>
      <w:sz w:val="30"/>
      <w:szCs w:val="30"/>
    </w:rPr>
  </w:style>
  <w:style w:type="character" w:customStyle="1" w:styleId="41">
    <w:name w:val="Heading 4 Char"/>
    <w:basedOn w:val="33"/>
    <w:qFormat/>
    <w:uiPriority w:val="9"/>
    <w:rPr>
      <w:rFonts w:ascii="Arial" w:hAnsi="Arial" w:eastAsia="Arial" w:cs="Arial"/>
      <w:b/>
      <w:bCs/>
      <w:sz w:val="26"/>
      <w:szCs w:val="26"/>
    </w:rPr>
  </w:style>
  <w:style w:type="character" w:customStyle="1" w:styleId="42">
    <w:name w:val="标题 5 Char"/>
    <w:basedOn w:val="33"/>
    <w:link w:val="8"/>
    <w:qFormat/>
    <w:uiPriority w:val="9"/>
    <w:rPr>
      <w:rFonts w:ascii="Arial" w:hAnsi="Arial" w:eastAsia="Arial" w:cs="Arial"/>
      <w:b/>
      <w:bCs/>
      <w:sz w:val="24"/>
      <w:szCs w:val="24"/>
    </w:rPr>
  </w:style>
  <w:style w:type="character" w:customStyle="1" w:styleId="43">
    <w:name w:val="标题 6 Char"/>
    <w:basedOn w:val="33"/>
    <w:link w:val="9"/>
    <w:qFormat/>
    <w:uiPriority w:val="9"/>
    <w:rPr>
      <w:rFonts w:ascii="Arial" w:hAnsi="Arial" w:eastAsia="Arial" w:cs="Arial"/>
      <w:b/>
      <w:bCs/>
      <w:sz w:val="22"/>
      <w:szCs w:val="22"/>
    </w:rPr>
  </w:style>
  <w:style w:type="character" w:customStyle="1" w:styleId="44">
    <w:name w:val="标题 7 Char"/>
    <w:basedOn w:val="33"/>
    <w:link w:val="10"/>
    <w:qFormat/>
    <w:uiPriority w:val="9"/>
    <w:rPr>
      <w:rFonts w:ascii="Arial" w:hAnsi="Arial" w:eastAsia="Arial" w:cs="Arial"/>
      <w:b/>
      <w:bCs/>
      <w:i/>
      <w:iCs/>
      <w:sz w:val="22"/>
      <w:szCs w:val="22"/>
    </w:rPr>
  </w:style>
  <w:style w:type="character" w:customStyle="1" w:styleId="45">
    <w:name w:val="标题 8 Char"/>
    <w:basedOn w:val="33"/>
    <w:link w:val="11"/>
    <w:qFormat/>
    <w:uiPriority w:val="9"/>
    <w:rPr>
      <w:rFonts w:ascii="Arial" w:hAnsi="Arial" w:eastAsia="Arial" w:cs="Arial"/>
      <w:i/>
      <w:iCs/>
      <w:sz w:val="22"/>
      <w:szCs w:val="22"/>
    </w:rPr>
  </w:style>
  <w:style w:type="character" w:customStyle="1" w:styleId="46">
    <w:name w:val="标题 9 Char"/>
    <w:basedOn w:val="33"/>
    <w:link w:val="12"/>
    <w:qFormat/>
    <w:uiPriority w:val="9"/>
    <w:rPr>
      <w:rFonts w:ascii="Arial" w:hAnsi="Arial" w:eastAsia="Arial" w:cs="Arial"/>
      <w:i/>
      <w:iCs/>
      <w:sz w:val="21"/>
      <w:szCs w:val="21"/>
    </w:rPr>
  </w:style>
  <w:style w:type="paragraph" w:customStyle="1" w:styleId="47">
    <w:name w:val="List Paragraph"/>
    <w:basedOn w:val="1"/>
    <w:qFormat/>
    <w:uiPriority w:val="34"/>
    <w:pPr>
      <w:ind w:left="720"/>
      <w:contextualSpacing/>
    </w:pPr>
  </w:style>
  <w:style w:type="paragraph" w:customStyle="1" w:styleId="48">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character" w:customStyle="1" w:styleId="49">
    <w:name w:val="Title Char"/>
    <w:basedOn w:val="33"/>
    <w:qFormat/>
    <w:uiPriority w:val="10"/>
    <w:rPr>
      <w:sz w:val="48"/>
      <w:szCs w:val="48"/>
    </w:rPr>
  </w:style>
  <w:style w:type="character" w:customStyle="1" w:styleId="50">
    <w:name w:val="副标题 Char"/>
    <w:basedOn w:val="33"/>
    <w:link w:val="23"/>
    <w:qFormat/>
    <w:uiPriority w:val="11"/>
    <w:rPr>
      <w:sz w:val="24"/>
      <w:szCs w:val="24"/>
    </w:rPr>
  </w:style>
  <w:style w:type="paragraph" w:customStyle="1" w:styleId="51">
    <w:name w:val="Quote"/>
    <w:basedOn w:val="1"/>
    <w:next w:val="1"/>
    <w:link w:val="52"/>
    <w:qFormat/>
    <w:uiPriority w:val="29"/>
    <w:pPr>
      <w:ind w:left="720" w:right="720"/>
    </w:pPr>
    <w:rPr>
      <w:i/>
    </w:rPr>
  </w:style>
  <w:style w:type="character" w:customStyle="1" w:styleId="52">
    <w:name w:val="引用 Char"/>
    <w:link w:val="51"/>
    <w:qFormat/>
    <w:uiPriority w:val="29"/>
    <w:rPr>
      <w:i/>
    </w:rPr>
  </w:style>
  <w:style w:type="paragraph" w:customStyle="1"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4">
    <w:name w:val="明显引用 Char"/>
    <w:link w:val="53"/>
    <w:qFormat/>
    <w:uiPriority w:val="30"/>
    <w:rPr>
      <w:i/>
    </w:rPr>
  </w:style>
  <w:style w:type="character" w:customStyle="1" w:styleId="55">
    <w:name w:val="Header Char"/>
    <w:basedOn w:val="33"/>
    <w:qFormat/>
    <w:uiPriority w:val="99"/>
  </w:style>
  <w:style w:type="character" w:customStyle="1" w:styleId="56">
    <w:name w:val="Footer Char"/>
    <w:basedOn w:val="33"/>
    <w:qFormat/>
    <w:uiPriority w:val="99"/>
  </w:style>
  <w:style w:type="table" w:customStyle="1" w:styleId="57">
    <w:name w:val="Table Grid Light"/>
    <w:basedOn w:val="3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8">
    <w:name w:val="无格式表格 11"/>
    <w:basedOn w:val="3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shd w:val="clear" w:color="auto" w:fill="F1F1F1" w:themeFill="text1" w:themeFillTint="0D"/>
      </w:tcPr>
    </w:tblStylePr>
    <w:tblStylePr w:type="band2Vert">
      <w:pPr>
        <w:snapToGrid/>
      </w:pPr>
    </w:tblStylePr>
    <w:tblStylePr w:type="band1Horz">
      <w:pPr>
        <w:snapToGrid/>
      </w:pPr>
      <w:tcPr>
        <w:shd w:val="clear" w:color="auto"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9">
    <w:name w:val="无格式表格 21"/>
    <w:basedOn w:val="3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pPr>
        <w:snapToGrid/>
      </w:pPr>
      <w:rPr>
        <w:rFonts w:ascii="Arial" w:hAnsi="Arial"/>
        <w:b/>
        <w:color w:val="404040"/>
        <w:sz w:val="22"/>
      </w:rPr>
      <w:tcPr>
        <w:tcBorders>
          <w:top w:val="single" w:color="000000" w:themeColor="text1" w:sz="4" w:space="0"/>
          <w:bottom w:val="single" w:color="000000" w:themeColor="text1" w:sz="4" w:space="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tcBorders>
          <w:left w:val="single" w:color="000000" w:themeColor="text1" w:sz="4" w:space="0"/>
          <w:right w:val="single" w:color="000000" w:themeColor="text1" w:sz="4" w:space="0"/>
        </w:tcBorders>
      </w:tcPr>
    </w:tblStylePr>
    <w:tblStylePr w:type="band2Vert">
      <w:pPr>
        <w:snapToGrid/>
      </w:pPr>
      <w:tcPr>
        <w:tcBorders>
          <w:left w:val="single" w:color="000000" w:themeColor="text1" w:sz="4" w:space="0"/>
          <w:right w:val="single" w:color="000000" w:themeColor="text1" w:sz="4" w:space="0"/>
        </w:tcBorders>
      </w:tcPr>
    </w:tblStylePr>
    <w:tblStylePr w:type="band1Horz">
      <w:pPr>
        <w:snapToGrid/>
      </w:p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0">
    <w:name w:val="无格式表格 31"/>
    <w:basedOn w:val="31"/>
    <w:qFormat/>
    <w:uiPriority w:val="99"/>
    <w:tblPr>
      <w:tblCellMar>
        <w:top w:w="0" w:type="dxa"/>
        <w:left w:w="108" w:type="dxa"/>
        <w:bottom w:w="0" w:type="dxa"/>
        <w:right w:w="108" w:type="dxa"/>
      </w:tblCellMar>
    </w:tblPr>
    <w:tblStylePr w:type="firstRow">
      <w:pPr>
        <w:snapToGrid/>
      </w:pPr>
      <w:rPr>
        <w:b/>
        <w:caps/>
        <w:color w:val="404040"/>
      </w:rPr>
      <w:tcPr>
        <w:tcBorders>
          <w:top w:val="nil"/>
          <w:left w:val="nil"/>
          <w:bottom w:val="single" w:color="404040" w:sz="4" w:space="0"/>
          <w:right w:val="nil"/>
        </w:tcBorders>
      </w:tcPr>
    </w:tblStylePr>
    <w:tblStylePr w:type="lastRow">
      <w:pPr>
        <w:snapToGrid/>
      </w:pPr>
      <w:rPr>
        <w:b/>
        <w:caps/>
        <w:color w:val="404040"/>
      </w:rPr>
    </w:tblStylePr>
    <w:tblStylePr w:type="firstCol">
      <w:pPr>
        <w:snapToGrid/>
      </w:pPr>
      <w:rPr>
        <w:b/>
        <w:caps/>
        <w:color w:val="404040"/>
      </w:rPr>
      <w:tcPr>
        <w:tcBorders>
          <w:top w:val="nil"/>
          <w:left w:val="nil"/>
          <w:bottom w:val="nil"/>
          <w:right w:val="single" w:color="404040" w:sz="4" w:space="0"/>
        </w:tcBorders>
      </w:tcPr>
    </w:tblStylePr>
    <w:tblStylePr w:type="lastCol">
      <w:pPr>
        <w:snapToGrid/>
      </w:pPr>
      <w:rPr>
        <w:b/>
        <w:caps/>
        <w:color w:val="404040"/>
      </w:rPr>
    </w:tblStylePr>
    <w:tblStylePr w:type="band1Vert">
      <w:pPr>
        <w:snapToGrid/>
      </w:pPr>
      <w:rPr>
        <w:rFonts w:ascii="Arial" w:hAnsi="Arial"/>
        <w:color w:val="404040"/>
        <w:sz w:val="22"/>
      </w:rPr>
      <w:tcPr>
        <w:shd w:val="clear" w:color="auto" w:fill="F1F1F1" w:themeFill="text1" w:themeFillTint="0D"/>
      </w:tcPr>
    </w:tblStylePr>
    <w:tblStylePr w:type="band2Vert">
      <w:pPr>
        <w:snapToGrid/>
      </w:pPr>
    </w:tblStylePr>
    <w:tblStylePr w:type="band1Horz">
      <w:pPr>
        <w:snapToGrid/>
      </w:pPr>
      <w:rPr>
        <w:rFonts w:ascii="Arial" w:hAnsi="Arial"/>
        <w:color w:val="404040"/>
        <w:sz w:val="22"/>
      </w:rPr>
      <w:tcPr>
        <w:shd w:val="clear" w:color="auto"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无格式表格 41"/>
    <w:basedOn w:val="31"/>
    <w:qFormat/>
    <w:uiPriority w:val="99"/>
    <w:tblPr>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1F1F1" w:themeFill="text1" w:themeFillTint="0D"/>
      </w:tcPr>
    </w:tblStylePr>
    <w:tblStylePr w:type="band2Vert">
      <w:pPr>
        <w:snapToGrid/>
      </w:pPr>
    </w:tblStylePr>
    <w:tblStylePr w:type="band1Horz">
      <w:pPr>
        <w:snapToGrid/>
      </w:pPr>
      <w:rPr>
        <w:rFonts w:ascii="Arial" w:hAnsi="Arial"/>
        <w:color w:val="404040"/>
        <w:sz w:val="22"/>
      </w:rPr>
      <w:tcPr>
        <w:shd w:val="clear" w:color="auto"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2">
    <w:name w:val="无格式表格 51"/>
    <w:basedOn w:val="31"/>
    <w:qFormat/>
    <w:uiPriority w:val="99"/>
    <w:tblPr>
      <w:tblCellMar>
        <w:top w:w="0" w:type="dxa"/>
        <w:left w:w="108" w:type="dxa"/>
        <w:bottom w:w="0" w:type="dxa"/>
        <w:right w:w="108" w:type="dxa"/>
      </w:tblCellMar>
    </w:tblPr>
    <w:tblStylePr w:type="firstRow">
      <w:pPr>
        <w:snapToGrid/>
      </w:pPr>
      <w:rPr>
        <w:i/>
        <w:color w:val="404040"/>
      </w:rPr>
      <w:tcPr>
        <w:tcBorders>
          <w:left w:val="nil"/>
          <w:bottom w:val="single" w:color="404040" w:sz="4" w:space="0"/>
          <w:right w:val="nil"/>
        </w:tcBorders>
        <w:shd w:val="clear" w:color="auto" w:fill="FFFFFF"/>
      </w:tcPr>
    </w:tblStylePr>
    <w:tblStylePr w:type="lastRow">
      <w:pPr>
        <w:snapToGrid/>
      </w:pPr>
      <w:rPr>
        <w:i/>
        <w:color w:val="404040"/>
      </w:rPr>
      <w:tcPr>
        <w:tcBorders>
          <w:top w:val="single" w:color="404040" w:sz="4" w:space="0"/>
          <w:left w:val="nil"/>
          <w:right w:val="nil"/>
        </w:tcBorders>
        <w:shd w:val="clear" w:color="auto" w:fill="FFFFFF"/>
      </w:tcPr>
    </w:tblStylePr>
    <w:tblStylePr w:type="firstCol">
      <w:pPr>
        <w:snapToGrid/>
        <w:jc w:val="right"/>
      </w:pPr>
      <w:rPr>
        <w:i/>
        <w:color w:val="404040"/>
      </w:rPr>
      <w:tcPr>
        <w:tcBorders>
          <w:right w:val="single" w:color="404040" w:sz="4" w:space="0"/>
        </w:tcBorders>
        <w:shd w:val="clear" w:color="auto" w:fill="FFFFFF"/>
      </w:tcPr>
    </w:tblStylePr>
    <w:tblStylePr w:type="lastCol">
      <w:pPr>
        <w:snapToGrid/>
      </w:pPr>
      <w:rPr>
        <w:i/>
        <w:color w:val="404040"/>
      </w:rPr>
      <w:tcPr>
        <w:tcBorders>
          <w:left w:val="single" w:color="404040" w:sz="4" w:space="0"/>
        </w:tcBorders>
        <w:shd w:val="clear" w:color="auto" w:fill="FFFFFF"/>
      </w:tcPr>
    </w:tblStylePr>
    <w:tblStylePr w:type="band1Vert">
      <w:pPr>
        <w:snapToGrid/>
      </w:pPr>
      <w:rPr>
        <w:rFonts w:ascii="Arial" w:hAnsi="Arial"/>
        <w:color w:val="404040"/>
        <w:sz w:val="22"/>
      </w:rPr>
      <w:tcPr>
        <w:shd w:val="clear" w:color="auto" w:fill="F1F1F1" w:themeFill="text1" w:themeFillTint="0D"/>
      </w:tcPr>
    </w:tblStylePr>
    <w:tblStylePr w:type="band2Vert">
      <w:pPr>
        <w:snapToGrid/>
      </w:pPr>
    </w:tblStylePr>
    <w:tblStylePr w:type="band1Horz">
      <w:pPr>
        <w:snapToGrid/>
      </w:pPr>
      <w:rPr>
        <w:rFonts w:ascii="Arial" w:hAnsi="Arial"/>
        <w:color w:val="404040"/>
        <w:sz w:val="22"/>
      </w:rPr>
      <w:tcPr>
        <w:shd w:val="clear" w:color="auto"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3">
    <w:name w:val="网格表 1 浅色1"/>
    <w:basedOn w:val="3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pPr>
        <w:snapToGrid/>
      </w:pPr>
      <w:rPr>
        <w:b/>
        <w:color w:val="404040"/>
      </w:rPr>
      <w:tcPr>
        <w:tcBorders>
          <w:bottom w:val="single" w:color="696969" w:themeColor="tex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4">
    <w:name w:val="Grid Table 1 Light - Accent 1"/>
    <w:basedOn w:val="31"/>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pPr>
        <w:snapToGrid/>
      </w:pPr>
      <w:rPr>
        <w:b/>
        <w:color w:val="404040"/>
      </w:rPr>
      <w:tcPr>
        <w:tcBorders>
          <w:bottom w:val="single" w:color="9FC4E6" w:themeColor="accen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5">
    <w:name w:val="Grid Table 1 Light - Accent 2"/>
    <w:basedOn w:val="31"/>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pPr>
        <w:snapToGrid/>
      </w:pPr>
      <w:rPr>
        <w:b/>
        <w:color w:val="404040"/>
      </w:rPr>
      <w:tcPr>
        <w:tcBorders>
          <w:bottom w:val="single" w:color="F4B386" w:themeColor="accent2"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6">
    <w:name w:val="Grid Table 1 Light - Accent 3"/>
    <w:basedOn w:val="31"/>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pPr>
        <w:snapToGrid/>
      </w:pPr>
      <w:rPr>
        <w:b/>
        <w:color w:val="404040"/>
      </w:rPr>
      <w:tcPr>
        <w:tcBorders>
          <w:bottom w:val="single" w:color="CACACA" w:themeColor="accent3"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7">
    <w:name w:val="Grid Table 1 Light - Accent 4"/>
    <w:basedOn w:val="31"/>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pPr>
        <w:snapToGrid/>
      </w:pPr>
      <w:rPr>
        <w:b/>
        <w:color w:val="404040"/>
      </w:rPr>
      <w:tcPr>
        <w:tcBorders>
          <w:bottom w:val="single" w:color="FFDA69" w:themeColor="accent4"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8">
    <w:name w:val="Grid Table 1 Light - Accent 5"/>
    <w:basedOn w:val="31"/>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pPr>
        <w:snapToGrid/>
      </w:pPr>
      <w:rPr>
        <w:b/>
        <w:color w:val="404040"/>
      </w:rPr>
      <w:tcPr>
        <w:tcBorders>
          <w:bottom w:val="single" w:color="91ACDC" w:themeColor="accent5"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9">
    <w:name w:val="Grid Table 1 Light - Accent 6"/>
    <w:basedOn w:val="31"/>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pPr>
        <w:snapToGrid/>
      </w:pPr>
      <w:rPr>
        <w:b/>
        <w:color w:val="404040"/>
      </w:rPr>
      <w:tcPr>
        <w:tcBorders>
          <w:bottom w:val="single" w:color="AAD190" w:themeColor="accent6"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0">
    <w:name w:val="网格表 21"/>
    <w:basedOn w:val="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pPr>
        <w:snapToGrid/>
      </w:pPr>
      <w:rPr>
        <w:b/>
        <w:color w:val="404040"/>
      </w:rPr>
      <w:tcPr>
        <w:tcBorders>
          <w:top w:val="nil"/>
          <w:left w:val="nil"/>
          <w:bottom w:val="single" w:color="696969" w:themeColor="text1" w:themeTint="95" w:sz="12" w:space="0"/>
          <w:right w:val="nil"/>
        </w:tcBorders>
        <w:shd w:val="clear" w:color="auto" w:fill="FFFFFF"/>
      </w:tcPr>
    </w:tblStylePr>
    <w:tblStylePr w:type="lastRow">
      <w:pPr>
        <w:snapToGrid/>
      </w:pPr>
      <w:rPr>
        <w:b/>
        <w:color w:val="404040"/>
      </w:rPr>
      <w:tcPr>
        <w:tcBorders>
          <w:top w:val="single" w:color="696969" w:themeColor="text1" w:themeTint="95"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CACACA" w:themeFill="text1" w:themeFillTint="34"/>
      </w:tcPr>
    </w:tblStylePr>
    <w:tblStylePr w:type="band2Vert">
      <w:pPr>
        <w:snapToGrid/>
      </w:pPr>
    </w:tblStylePr>
    <w:tblStylePr w:type="band1Horz">
      <w:pPr>
        <w:snapToGrid/>
      </w:pPr>
      <w:rPr>
        <w:rFonts w:ascii="Arial" w:hAnsi="Arial"/>
        <w:color w:val="404040"/>
        <w:sz w:val="22"/>
      </w:rPr>
      <w:tcPr>
        <w:shd w:val="clear" w:color="auto"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Grid Table 2 - Accent 1"/>
    <w:basedOn w:val="31"/>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pPr>
        <w:snapToGrid/>
      </w:pPr>
      <w:rPr>
        <w:b/>
        <w:color w:val="404040"/>
      </w:rPr>
      <w:tcPr>
        <w:tcBorders>
          <w:top w:val="nil"/>
          <w:left w:val="nil"/>
          <w:bottom w:val="single" w:color="68A3D8" w:themeColor="accent1" w:themeTint="EA" w:sz="12" w:space="0"/>
          <w:right w:val="nil"/>
        </w:tcBorders>
        <w:shd w:val="clear" w:color="auto" w:fill="FFFFFF"/>
      </w:tcPr>
    </w:tblStylePr>
    <w:tblStylePr w:type="lastRow">
      <w:pPr>
        <w:snapToGrid/>
      </w:pPr>
      <w:rPr>
        <w:b/>
        <w:color w:val="404040"/>
      </w:rPr>
      <w:tcPr>
        <w:tcBorders>
          <w:top w:val="single" w:color="68A3D8" w:themeColor="accent1" w:themeTint="EA"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2">
    <w:name w:val="Grid Table 2 - Accent 2"/>
    <w:basedOn w:val="31"/>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pPr>
        <w:snapToGrid/>
      </w:pPr>
      <w:rPr>
        <w:b/>
        <w:color w:val="404040"/>
      </w:rPr>
      <w:tcPr>
        <w:tcBorders>
          <w:top w:val="nil"/>
          <w:left w:val="nil"/>
          <w:bottom w:val="single" w:color="F4B285" w:themeColor="accent2" w:themeTint="97" w:sz="12" w:space="0"/>
          <w:right w:val="nil"/>
        </w:tcBorders>
        <w:shd w:val="clear" w:color="auto" w:fill="FFFFFF"/>
      </w:tcPr>
    </w:tblStylePr>
    <w:tblStylePr w:type="lastRow">
      <w:pPr>
        <w:snapToGrid/>
      </w:pPr>
      <w:rPr>
        <w:b/>
        <w:color w:val="404040"/>
      </w:rPr>
      <w:tcPr>
        <w:tcBorders>
          <w:top w:val="single" w:color="F4B285" w:themeColor="accent2" w:themeTint="97"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3">
    <w:name w:val="Grid Table 2 - Accent 3"/>
    <w:basedOn w:val="31"/>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pPr>
        <w:snapToGrid/>
      </w:pPr>
      <w:rPr>
        <w:b/>
        <w:color w:val="404040"/>
      </w:rPr>
      <w:tcPr>
        <w:tcBorders>
          <w:top w:val="nil"/>
          <w:left w:val="nil"/>
          <w:bottom w:val="single" w:color="A5A5A5" w:themeColor="accent3" w:themeTint="FE" w:sz="12" w:space="0"/>
          <w:right w:val="nil"/>
        </w:tcBorders>
        <w:shd w:val="clear" w:color="auto" w:fill="FFFFFF"/>
      </w:tcPr>
    </w:tblStylePr>
    <w:tblStylePr w:type="lastRow">
      <w:pPr>
        <w:snapToGrid/>
      </w:pPr>
      <w:rPr>
        <w:b/>
        <w:color w:val="404040"/>
      </w:rPr>
      <w:tcPr>
        <w:tcBorders>
          <w:top w:val="single" w:color="A5A5A5" w:themeColor="accent3" w:themeTint="FE"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4">
    <w:name w:val="Grid Table 2 - Accent 4"/>
    <w:basedOn w:val="31"/>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pPr>
        <w:snapToGrid/>
      </w:pPr>
      <w:rPr>
        <w:b/>
        <w:color w:val="404040"/>
      </w:rPr>
      <w:tcPr>
        <w:tcBorders>
          <w:top w:val="nil"/>
          <w:left w:val="nil"/>
          <w:bottom w:val="single" w:color="FFD864" w:themeColor="accent4" w:themeTint="9A" w:sz="12" w:space="0"/>
          <w:right w:val="nil"/>
        </w:tcBorders>
        <w:shd w:val="clear" w:color="auto" w:fill="FFFFFF"/>
      </w:tcPr>
    </w:tblStylePr>
    <w:tblStylePr w:type="lastRow">
      <w:pPr>
        <w:snapToGrid/>
      </w:pPr>
      <w:rPr>
        <w:b/>
        <w:color w:val="404040"/>
      </w:rPr>
      <w:tcPr>
        <w:tcBorders>
          <w:top w:val="single" w:color="FFD864" w:themeColor="accent4" w:themeTint="9A"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EF2CA" w:themeFill="accent4" w:themeFillTint="34"/>
      </w:tcPr>
    </w:tblStylePr>
    <w:tblStylePr w:type="band2Vert">
      <w:pPr>
        <w:snapToGrid/>
      </w:pPr>
    </w:tblStylePr>
    <w:tblStylePr w:type="band1Horz">
      <w:pPr>
        <w:snapToGrid/>
      </w:pPr>
      <w:rPr>
        <w:rFonts w:ascii="Arial" w:hAnsi="Arial"/>
        <w:color w:val="404040"/>
        <w:sz w:val="22"/>
      </w:rPr>
      <w:tcPr>
        <w:shd w:val="clear" w:color="auto" w:fill="FEF2CA"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5">
    <w:name w:val="Grid Table 2 - Accent 5"/>
    <w:basedOn w:val="31"/>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pPr>
        <w:snapToGrid/>
      </w:pPr>
      <w:rPr>
        <w:b/>
        <w:color w:val="404040"/>
      </w:rPr>
      <w:tcPr>
        <w:tcBorders>
          <w:top w:val="nil"/>
          <w:left w:val="nil"/>
          <w:bottom w:val="single" w:color="4472C4" w:themeColor="accent5" w:sz="12" w:space="0"/>
          <w:right w:val="nil"/>
        </w:tcBorders>
        <w:shd w:val="clear" w:color="auto" w:fill="FFFFFF"/>
      </w:tcPr>
    </w:tblStylePr>
    <w:tblStylePr w:type="lastRow">
      <w:pPr>
        <w:snapToGrid/>
      </w:pPr>
      <w:rPr>
        <w:b/>
        <w:color w:val="404040"/>
      </w:rPr>
      <w:tcPr>
        <w:tcBorders>
          <w:top w:val="single" w:color="4472C4" w:themeColor="accent5"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8E2F2" w:themeFill="accent5" w:themeFillTint="34"/>
      </w:tcPr>
    </w:tblStylePr>
    <w:tblStylePr w:type="band2Vert">
      <w:pPr>
        <w:snapToGrid/>
      </w:pPr>
    </w:tblStylePr>
    <w:tblStylePr w:type="band1Horz">
      <w:pPr>
        <w:snapToGrid/>
      </w:pPr>
      <w:rPr>
        <w:rFonts w:ascii="Arial" w:hAnsi="Arial"/>
        <w:color w:val="404040"/>
        <w:sz w:val="22"/>
      </w:rPr>
      <w:tcPr>
        <w:shd w:val="clear" w:color="auto" w:fill="D8E2F2"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6">
    <w:name w:val="Grid Table 2 - Accent 6"/>
    <w:basedOn w:val="31"/>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pPr>
        <w:snapToGrid/>
      </w:pPr>
      <w:rPr>
        <w:b/>
        <w:color w:val="404040"/>
      </w:rPr>
      <w:tcPr>
        <w:tcBorders>
          <w:top w:val="nil"/>
          <w:left w:val="nil"/>
          <w:bottom w:val="single" w:color="70AD47" w:themeColor="accent6" w:sz="12" w:space="0"/>
          <w:right w:val="nil"/>
        </w:tcBorders>
        <w:shd w:val="clear" w:color="auto" w:fill="FFFFFF"/>
      </w:tcPr>
    </w:tblStylePr>
    <w:tblStylePr w:type="lastRow">
      <w:pPr>
        <w:snapToGrid/>
      </w:pPr>
      <w:rPr>
        <w:b/>
        <w:color w:val="404040"/>
      </w:rPr>
      <w:tcPr>
        <w:tcBorders>
          <w:top w:val="single" w:color="70AD47" w:themeColor="accent6"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7">
    <w:name w:val="网格表 31"/>
    <w:basedOn w:val="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CACACA" w:themeFill="text1" w:themeFillTint="34"/>
      </w:tcPr>
    </w:tblStylePr>
    <w:tblStylePr w:type="band2Vert">
      <w:pPr>
        <w:snapToGrid/>
      </w:pPr>
    </w:tblStylePr>
    <w:tblStylePr w:type="band1Horz">
      <w:pPr>
        <w:snapToGrid/>
      </w:pPr>
      <w:rPr>
        <w:rFonts w:ascii="Arial" w:hAnsi="Arial"/>
        <w:color w:val="404040"/>
        <w:sz w:val="22"/>
      </w:rPr>
      <w:tcPr>
        <w:shd w:val="clear" w:color="auto"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8">
    <w:name w:val="Grid Table 3 - Accent 1"/>
    <w:basedOn w:val="31"/>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9">
    <w:name w:val="Grid Table 3 - Accent 2"/>
    <w:basedOn w:val="31"/>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0">
    <w:name w:val="Grid Table 3 - Accent 3"/>
    <w:basedOn w:val="31"/>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1">
    <w:name w:val="Grid Table 3 - Accent 4"/>
    <w:basedOn w:val="31"/>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FEF2CA" w:themeFill="accent4" w:themeFillTint="34"/>
      </w:tcPr>
    </w:tblStylePr>
    <w:tblStylePr w:type="band2Vert">
      <w:pPr>
        <w:snapToGrid/>
      </w:pPr>
    </w:tblStylePr>
    <w:tblStylePr w:type="band1Horz">
      <w:pPr>
        <w:snapToGrid/>
      </w:pPr>
      <w:rPr>
        <w:rFonts w:ascii="Arial" w:hAnsi="Arial"/>
        <w:color w:val="404040"/>
        <w:sz w:val="22"/>
      </w:rPr>
      <w:tcPr>
        <w:shd w:val="clear" w:color="auto" w:fill="FEF2CA"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2">
    <w:name w:val="Grid Table 3 - Accent 5"/>
    <w:basedOn w:val="31"/>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D8E2F2" w:themeFill="accent5" w:themeFillTint="34"/>
      </w:tcPr>
    </w:tblStylePr>
    <w:tblStylePr w:type="band2Vert">
      <w:pPr>
        <w:snapToGrid/>
      </w:pPr>
    </w:tblStylePr>
    <w:tblStylePr w:type="band1Horz">
      <w:pPr>
        <w:snapToGrid/>
      </w:pPr>
      <w:rPr>
        <w:rFonts w:ascii="Arial" w:hAnsi="Arial"/>
        <w:color w:val="404040"/>
        <w:sz w:val="22"/>
      </w:rPr>
      <w:tcPr>
        <w:shd w:val="clear" w:color="auto" w:fill="D8E2F2"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3">
    <w:name w:val="Grid Table 3 - Accent 6"/>
    <w:basedOn w:val="31"/>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4">
    <w:name w:val="网格表 41"/>
    <w:basedOn w:val="3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pPr>
        <w:snapToGrid/>
      </w:pPr>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pPr>
        <w:snapToGrid/>
      </w:pPr>
      <w:rPr>
        <w:b/>
        <w:color w:val="404040"/>
      </w:rPr>
      <w:tcPr>
        <w:tcBorders>
          <w:top w:val="single" w:color="000000" w:themeColor="text1"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CACACA" w:themeFill="text1" w:themeFillTint="34"/>
      </w:tcPr>
    </w:tblStylePr>
    <w:tblStylePr w:type="band2Vert">
      <w:pPr>
        <w:snapToGrid/>
      </w:pPr>
    </w:tblStylePr>
    <w:tblStylePr w:type="band1Horz">
      <w:pPr>
        <w:snapToGrid/>
      </w:pPr>
      <w:rPr>
        <w:rFonts w:ascii="Arial" w:hAnsi="Arial"/>
        <w:color w:val="404040"/>
        <w:sz w:val="22"/>
      </w:rPr>
      <w:tcPr>
        <w:shd w:val="clear" w:color="auto"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5">
    <w:name w:val="Grid Table 4 - Accent 1"/>
    <w:basedOn w:val="31"/>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pPr>
        <w:snapToGrid/>
      </w:pPr>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auto" w:fill="68A3D8" w:themeFill="accent1" w:themeFillTint="EA"/>
      </w:tcPr>
    </w:tblStylePr>
    <w:tblStylePr w:type="lastRow">
      <w:pPr>
        <w:snapToGrid/>
      </w:pPr>
      <w:rPr>
        <w:b/>
        <w:color w:val="404040"/>
      </w:rPr>
      <w:tcPr>
        <w:tcBorders>
          <w:top w:val="single" w:color="68A3D8" w:themeColor="accent1" w:themeTint="E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EEBF6" w:themeFill="accent1" w:themeFillTint="32"/>
      </w:tcPr>
    </w:tblStylePr>
    <w:tblStylePr w:type="band2Vert">
      <w:pPr>
        <w:snapToGrid/>
      </w:pPr>
    </w:tblStylePr>
    <w:tblStylePr w:type="band1Horz">
      <w:pPr>
        <w:snapToGrid/>
      </w:pPr>
      <w:rPr>
        <w:rFonts w:ascii="Arial" w:hAnsi="Arial"/>
        <w:color w:val="404040"/>
        <w:sz w:val="22"/>
      </w:rPr>
      <w:tcPr>
        <w:shd w:val="clear" w:color="auto"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6">
    <w:name w:val="Grid Table 4 - Accent 2"/>
    <w:basedOn w:val="31"/>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pPr>
        <w:snapToGrid/>
      </w:pPr>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pPr>
        <w:snapToGrid/>
      </w:pPr>
      <w:rPr>
        <w:b/>
        <w:color w:val="404040"/>
      </w:rPr>
      <w:tcPr>
        <w:tcBorders>
          <w:top w:val="single" w:color="F4B285" w:themeColor="accent2" w:themeTint="97"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7">
    <w:name w:val="Grid Table 4 - Accent 3"/>
    <w:basedOn w:val="31"/>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pPr>
        <w:snapToGrid/>
      </w:pPr>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pPr>
        <w:snapToGrid/>
      </w:pPr>
      <w:rPr>
        <w:b/>
        <w:color w:val="404040"/>
      </w:rPr>
      <w:tcPr>
        <w:tcBorders>
          <w:top w:val="single" w:color="A5A5A5" w:themeColor="accent3" w:themeTint="FE"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8">
    <w:name w:val="Grid Table 4 - Accent 4"/>
    <w:basedOn w:val="31"/>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pPr>
        <w:snapToGrid/>
      </w:pPr>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pPr>
        <w:snapToGrid/>
      </w:pPr>
      <w:rPr>
        <w:b/>
        <w:color w:val="404040"/>
      </w:rPr>
      <w:tcPr>
        <w:tcBorders>
          <w:top w:val="single" w:color="FFD864" w:themeColor="accent4" w:themeTint="9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EF2CA" w:themeFill="accent4" w:themeFillTint="34"/>
      </w:tcPr>
    </w:tblStylePr>
    <w:tblStylePr w:type="band2Vert">
      <w:pPr>
        <w:snapToGrid/>
      </w:pPr>
    </w:tblStylePr>
    <w:tblStylePr w:type="band1Horz">
      <w:pPr>
        <w:snapToGrid/>
      </w:pPr>
      <w:rPr>
        <w:rFonts w:ascii="Arial" w:hAnsi="Arial"/>
        <w:color w:val="404040"/>
        <w:sz w:val="22"/>
      </w:rPr>
      <w:tcPr>
        <w:shd w:val="clear" w:color="auto" w:fill="FEF2CA"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9">
    <w:name w:val="Grid Table 4 - Accent 5"/>
    <w:basedOn w:val="31"/>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pPr>
        <w:snapToGrid/>
      </w:pPr>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4472C4" w:themeFill="accent5"/>
      </w:tcPr>
    </w:tblStylePr>
    <w:tblStylePr w:type="lastRow">
      <w:pPr>
        <w:snapToGrid/>
      </w:pPr>
      <w:rPr>
        <w:b/>
        <w:color w:val="404040"/>
      </w:rPr>
      <w:tcPr>
        <w:tcBorders>
          <w:top w:val="single" w:color="4472C4" w:themeColor="accent5"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8E2F2" w:themeFill="accent5" w:themeFillTint="34"/>
      </w:tcPr>
    </w:tblStylePr>
    <w:tblStylePr w:type="band2Vert">
      <w:pPr>
        <w:snapToGrid/>
      </w:pPr>
    </w:tblStylePr>
    <w:tblStylePr w:type="band1Horz">
      <w:pPr>
        <w:snapToGrid/>
      </w:pPr>
      <w:rPr>
        <w:rFonts w:ascii="Arial" w:hAnsi="Arial"/>
        <w:color w:val="404040"/>
        <w:sz w:val="22"/>
      </w:rPr>
      <w:tcPr>
        <w:shd w:val="clear" w:color="auto" w:fill="D8E2F2"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0">
    <w:name w:val="Grid Table 4 - Accent 6"/>
    <w:basedOn w:val="31"/>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pPr>
        <w:snapToGrid/>
      </w:pPr>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pPr>
        <w:snapToGrid/>
      </w:pPr>
      <w:rPr>
        <w:b/>
        <w:color w:val="404040"/>
      </w:rPr>
      <w:tcPr>
        <w:tcBorders>
          <w:top w:val="single" w:color="70AD47" w:themeColor="accent6"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1">
    <w:name w:val="网格表 5 深色1"/>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000000" w:themeFill="text1"/>
      </w:tcPr>
    </w:tblStylePr>
    <w:tblStylePr w:type="lastRow">
      <w:pPr>
        <w:snapToGrid/>
      </w:pPr>
      <w:rPr>
        <w:rFonts w:ascii="Arial" w:hAnsi="Arial"/>
        <w:b/>
        <w:color w:val="FFFFFF"/>
        <w:sz w:val="22"/>
      </w:rPr>
      <w:tcPr>
        <w:tcBorders>
          <w:top w:val="single" w:color="FFFFFF" w:themeColor="light1" w:sz="4" w:space="0"/>
        </w:tcBorders>
        <w:shd w:val="clear" w:color="auto" w:fill="000000" w:themeFill="text1"/>
      </w:tcPr>
    </w:tblStylePr>
    <w:tblStylePr w:type="firstCol">
      <w:pPr>
        <w:snapToGrid/>
      </w:pPr>
      <w:rPr>
        <w:rFonts w:ascii="Arial" w:hAnsi="Arial"/>
        <w:b/>
        <w:color w:val="FFFFFF"/>
        <w:sz w:val="22"/>
      </w:rPr>
      <w:tcPr>
        <w:shd w:val="clear" w:color="auto" w:fill="000000" w:themeFill="text1"/>
      </w:tcPr>
    </w:tblStylePr>
    <w:tblStylePr w:type="lastCol">
      <w:pPr>
        <w:snapToGrid/>
      </w:pPr>
      <w:rPr>
        <w:rFonts w:ascii="Arial" w:hAnsi="Arial"/>
        <w:b/>
        <w:color w:val="FFFFFF"/>
        <w:sz w:val="22"/>
      </w:rPr>
      <w:tcPr>
        <w:shd w:val="clear" w:color="auto" w:fill="000000" w:themeFill="text1"/>
      </w:tcPr>
    </w:tblStylePr>
    <w:tblStylePr w:type="band1Vert">
      <w:pPr>
        <w:snapToGrid/>
      </w:pPr>
      <w:tcPr>
        <w:shd w:val="clear" w:color="auto" w:fill="898989" w:themeFill="text1" w:themeFillTint="75"/>
      </w:tcPr>
    </w:tblStylePr>
    <w:tblStylePr w:type="band2Vert">
      <w:pPr>
        <w:snapToGrid/>
      </w:pPr>
    </w:tblStylePr>
    <w:tblStylePr w:type="band1Horz">
      <w:pPr>
        <w:snapToGrid/>
      </w:pPr>
      <w:tcPr>
        <w:shd w:val="clear" w:color="auto" w:fill="898989"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2">
    <w:name w:val="Grid Table 5 Dark- Accent 1"/>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5B9BD5" w:themeFill="accent1"/>
      </w:tcPr>
    </w:tblStylePr>
    <w:tblStylePr w:type="lastRow">
      <w:pPr>
        <w:snapToGrid/>
      </w:pPr>
      <w:rPr>
        <w:rFonts w:ascii="Arial" w:hAnsi="Arial"/>
        <w:b/>
        <w:color w:val="FFFFFF"/>
        <w:sz w:val="22"/>
      </w:rPr>
      <w:tcPr>
        <w:tcBorders>
          <w:top w:val="single" w:color="FFFFFF" w:themeColor="light1" w:sz="4" w:space="0"/>
        </w:tcBorders>
        <w:shd w:val="clear" w:color="auto" w:fill="5B9BD5" w:themeFill="accent1"/>
      </w:tcPr>
    </w:tblStylePr>
    <w:tblStylePr w:type="firstCol">
      <w:pPr>
        <w:snapToGrid/>
      </w:pPr>
      <w:rPr>
        <w:rFonts w:ascii="Arial" w:hAnsi="Arial"/>
        <w:b/>
        <w:color w:val="FFFFFF"/>
        <w:sz w:val="22"/>
      </w:rPr>
      <w:tcPr>
        <w:shd w:val="clear" w:color="auto" w:fill="5B9BD5" w:themeFill="accent1"/>
      </w:tcPr>
    </w:tblStylePr>
    <w:tblStylePr w:type="lastCol">
      <w:pPr>
        <w:snapToGrid/>
      </w:pPr>
      <w:rPr>
        <w:rFonts w:ascii="Arial" w:hAnsi="Arial"/>
        <w:b/>
        <w:color w:val="FFFFFF"/>
        <w:sz w:val="22"/>
      </w:rPr>
      <w:tcPr>
        <w:shd w:val="clear" w:color="auto" w:fill="5B9BD5" w:themeFill="accent1"/>
      </w:tcPr>
    </w:tblStylePr>
    <w:tblStylePr w:type="band1Vert">
      <w:pPr>
        <w:snapToGrid/>
      </w:pPr>
      <w:tcPr>
        <w:shd w:val="clear" w:color="auto" w:fill="B3D1EB" w:themeFill="accent1" w:themeFillTint="75"/>
      </w:tcPr>
    </w:tblStylePr>
    <w:tblStylePr w:type="band2Vert">
      <w:pPr>
        <w:snapToGrid/>
      </w:pPr>
    </w:tblStylePr>
    <w:tblStylePr w:type="band1Horz">
      <w:pPr>
        <w:snapToGrid/>
      </w:pPr>
      <w:tcPr>
        <w:shd w:val="clear" w:color="auto" w:fill="B3D1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3">
    <w:name w:val="Grid Table 5 Dark - Accent 2"/>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ED7D31" w:themeFill="accent2"/>
      </w:tcPr>
    </w:tblStylePr>
    <w:tblStylePr w:type="lastRow">
      <w:pPr>
        <w:snapToGrid/>
      </w:pPr>
      <w:rPr>
        <w:rFonts w:ascii="Arial" w:hAnsi="Arial"/>
        <w:b/>
        <w:color w:val="FFFFFF"/>
        <w:sz w:val="22"/>
      </w:rPr>
      <w:tcPr>
        <w:tcBorders>
          <w:top w:val="single" w:color="FFFFFF" w:themeColor="light1" w:sz="4" w:space="0"/>
        </w:tcBorders>
        <w:shd w:val="clear" w:color="auto" w:fill="ED7D31" w:themeFill="accent2"/>
      </w:tcPr>
    </w:tblStylePr>
    <w:tblStylePr w:type="firstCol">
      <w:pPr>
        <w:snapToGrid/>
      </w:pPr>
      <w:rPr>
        <w:rFonts w:ascii="Arial" w:hAnsi="Arial"/>
        <w:b/>
        <w:color w:val="FFFFFF"/>
        <w:sz w:val="22"/>
      </w:rPr>
      <w:tcPr>
        <w:shd w:val="clear" w:color="auto" w:fill="ED7D31" w:themeFill="accent2"/>
      </w:tcPr>
    </w:tblStylePr>
    <w:tblStylePr w:type="lastCol">
      <w:pPr>
        <w:snapToGrid/>
      </w:pPr>
      <w:rPr>
        <w:rFonts w:ascii="Arial" w:hAnsi="Arial"/>
        <w:b/>
        <w:color w:val="FFFFFF"/>
        <w:sz w:val="22"/>
      </w:rPr>
      <w:tcPr>
        <w:shd w:val="clear" w:color="auto" w:fill="ED7D31" w:themeFill="accent2"/>
      </w:tcPr>
    </w:tblStylePr>
    <w:tblStylePr w:type="band1Vert">
      <w:pPr>
        <w:snapToGrid/>
      </w:pPr>
      <w:tcPr>
        <w:shd w:val="clear" w:color="auto" w:fill="F6C3A0" w:themeFill="accent2" w:themeFillTint="75"/>
      </w:tcPr>
    </w:tblStylePr>
    <w:tblStylePr w:type="band2Vert">
      <w:pPr>
        <w:snapToGrid/>
      </w:pPr>
    </w:tblStylePr>
    <w:tblStylePr w:type="band1Horz">
      <w:pPr>
        <w:snapToGrid/>
      </w:pPr>
      <w:tcPr>
        <w:shd w:val="clear" w:color="auto"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4">
    <w:name w:val="Grid Table 5 Dark - Accent 3"/>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A5A5A5" w:themeFill="accent3"/>
      </w:tcPr>
    </w:tblStylePr>
    <w:tblStylePr w:type="lastRow">
      <w:pPr>
        <w:snapToGrid/>
      </w:pPr>
      <w:rPr>
        <w:rFonts w:ascii="Arial" w:hAnsi="Arial"/>
        <w:b/>
        <w:color w:val="FFFFFF"/>
        <w:sz w:val="22"/>
      </w:rPr>
      <w:tcPr>
        <w:tcBorders>
          <w:top w:val="single" w:color="FFFFFF" w:themeColor="light1" w:sz="4" w:space="0"/>
        </w:tcBorders>
        <w:shd w:val="clear" w:color="auto" w:fill="A5A5A5" w:themeFill="accent3"/>
      </w:tcPr>
    </w:tblStylePr>
    <w:tblStylePr w:type="firstCol">
      <w:pPr>
        <w:snapToGrid/>
      </w:pPr>
      <w:rPr>
        <w:rFonts w:ascii="Arial" w:hAnsi="Arial"/>
        <w:b/>
        <w:color w:val="FFFFFF"/>
        <w:sz w:val="22"/>
      </w:rPr>
      <w:tcPr>
        <w:shd w:val="clear" w:color="auto" w:fill="A5A5A5" w:themeFill="accent3"/>
      </w:tcPr>
    </w:tblStylePr>
    <w:tblStylePr w:type="lastCol">
      <w:pPr>
        <w:snapToGrid/>
      </w:pPr>
      <w:rPr>
        <w:rFonts w:ascii="Arial" w:hAnsi="Arial"/>
        <w:b/>
        <w:color w:val="FFFFFF"/>
        <w:sz w:val="22"/>
      </w:rPr>
      <w:tcPr>
        <w:shd w:val="clear" w:color="auto" w:fill="A5A5A5" w:themeFill="accent3"/>
      </w:tcPr>
    </w:tblStylePr>
    <w:tblStylePr w:type="band1Vert">
      <w:pPr>
        <w:snapToGrid/>
      </w:pPr>
      <w:tcPr>
        <w:shd w:val="clear" w:color="auto" w:fill="D5D5D5" w:themeFill="accent3" w:themeFillTint="75"/>
      </w:tcPr>
    </w:tblStylePr>
    <w:tblStylePr w:type="band2Vert">
      <w:pPr>
        <w:snapToGrid/>
      </w:pPr>
    </w:tblStylePr>
    <w:tblStylePr w:type="band1Horz">
      <w:pPr>
        <w:snapToGrid/>
      </w:pPr>
      <w:tcPr>
        <w:shd w:val="clear" w:color="auto"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5">
    <w:name w:val="Grid Table 5 Dark- Accent 4"/>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FFC000" w:themeFill="accent4"/>
      </w:tcPr>
    </w:tblStylePr>
    <w:tblStylePr w:type="lastRow">
      <w:pPr>
        <w:snapToGrid/>
      </w:pPr>
      <w:rPr>
        <w:rFonts w:ascii="Arial" w:hAnsi="Arial"/>
        <w:b/>
        <w:color w:val="FFFFFF"/>
        <w:sz w:val="22"/>
      </w:rPr>
      <w:tcPr>
        <w:tcBorders>
          <w:top w:val="single" w:color="FFFFFF" w:themeColor="light1" w:sz="4" w:space="0"/>
        </w:tcBorders>
        <w:shd w:val="clear" w:color="auto" w:fill="FFC000" w:themeFill="accent4"/>
      </w:tcPr>
    </w:tblStylePr>
    <w:tblStylePr w:type="firstCol">
      <w:pPr>
        <w:snapToGrid/>
      </w:pPr>
      <w:rPr>
        <w:rFonts w:ascii="Arial" w:hAnsi="Arial"/>
        <w:b/>
        <w:color w:val="FFFFFF"/>
        <w:sz w:val="22"/>
      </w:rPr>
      <w:tcPr>
        <w:shd w:val="clear" w:color="auto" w:fill="FFC000" w:themeFill="accent4"/>
      </w:tcPr>
    </w:tblStylePr>
    <w:tblStylePr w:type="lastCol">
      <w:pPr>
        <w:snapToGrid/>
      </w:pPr>
      <w:rPr>
        <w:rFonts w:ascii="Arial" w:hAnsi="Arial"/>
        <w:b/>
        <w:color w:val="FFFFFF"/>
        <w:sz w:val="22"/>
      </w:rPr>
      <w:tcPr>
        <w:shd w:val="clear" w:color="auto" w:fill="FFC000" w:themeFill="accent4"/>
      </w:tcPr>
    </w:tblStylePr>
    <w:tblStylePr w:type="band1Vert">
      <w:pPr>
        <w:snapToGrid/>
      </w:pPr>
      <w:tcPr>
        <w:shd w:val="clear" w:color="auto" w:fill="FEE289" w:themeFill="accent4" w:themeFillTint="75"/>
      </w:tcPr>
    </w:tblStylePr>
    <w:tblStylePr w:type="band2Vert">
      <w:pPr>
        <w:snapToGrid/>
      </w:pPr>
    </w:tblStylePr>
    <w:tblStylePr w:type="band1Horz">
      <w:pPr>
        <w:snapToGrid/>
      </w:pPr>
      <w:tcPr>
        <w:shd w:val="clear" w:color="auto" w:fill="FEE289"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6">
    <w:name w:val="Grid Table 5 Dark - Accent 5"/>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4472C4" w:themeFill="accent5"/>
      </w:tcPr>
    </w:tblStylePr>
    <w:tblStylePr w:type="lastRow">
      <w:pPr>
        <w:snapToGrid/>
      </w:pPr>
      <w:rPr>
        <w:rFonts w:ascii="Arial" w:hAnsi="Arial"/>
        <w:b/>
        <w:color w:val="FFFFFF"/>
        <w:sz w:val="22"/>
      </w:rPr>
      <w:tcPr>
        <w:tcBorders>
          <w:top w:val="single" w:color="FFFFFF" w:themeColor="light1" w:sz="4" w:space="0"/>
        </w:tcBorders>
        <w:shd w:val="clear" w:color="auto" w:fill="4472C4" w:themeFill="accent5"/>
      </w:tcPr>
    </w:tblStylePr>
    <w:tblStylePr w:type="firstCol">
      <w:pPr>
        <w:snapToGrid/>
      </w:pPr>
      <w:rPr>
        <w:rFonts w:ascii="Arial" w:hAnsi="Arial"/>
        <w:b/>
        <w:color w:val="FFFFFF"/>
        <w:sz w:val="22"/>
      </w:rPr>
      <w:tcPr>
        <w:shd w:val="clear" w:color="auto" w:fill="4472C4" w:themeFill="accent5"/>
      </w:tcPr>
    </w:tblStylePr>
    <w:tblStylePr w:type="lastCol">
      <w:pPr>
        <w:snapToGrid/>
      </w:pPr>
      <w:rPr>
        <w:rFonts w:ascii="Arial" w:hAnsi="Arial"/>
        <w:b/>
        <w:color w:val="FFFFFF"/>
        <w:sz w:val="22"/>
      </w:rPr>
      <w:tcPr>
        <w:shd w:val="clear" w:color="auto" w:fill="4472C4" w:themeFill="accent5"/>
      </w:tcPr>
    </w:tblStylePr>
    <w:tblStylePr w:type="band1Vert">
      <w:pPr>
        <w:snapToGrid/>
      </w:pPr>
      <w:tcPr>
        <w:shd w:val="clear" w:color="auto" w:fill="A9BEE3" w:themeFill="accent5" w:themeFillTint="75"/>
      </w:tcPr>
    </w:tblStylePr>
    <w:tblStylePr w:type="band2Vert">
      <w:pPr>
        <w:snapToGrid/>
      </w:pPr>
    </w:tblStylePr>
    <w:tblStylePr w:type="band1Horz">
      <w:pPr>
        <w:snapToGrid/>
      </w:pPr>
      <w:tcPr>
        <w:shd w:val="clear" w:color="auto" w:fill="A9BEE3"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7">
    <w:name w:val="Grid Table 5 Dark - Accent 6"/>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70AD47" w:themeFill="accent6"/>
      </w:tcPr>
    </w:tblStylePr>
    <w:tblStylePr w:type="lastRow">
      <w:pPr>
        <w:snapToGrid/>
      </w:pPr>
      <w:rPr>
        <w:rFonts w:ascii="Arial" w:hAnsi="Arial"/>
        <w:b/>
        <w:color w:val="FFFFFF"/>
        <w:sz w:val="22"/>
      </w:rPr>
      <w:tcPr>
        <w:tcBorders>
          <w:top w:val="single" w:color="FFFFFF" w:themeColor="light1" w:sz="4" w:space="0"/>
        </w:tcBorders>
        <w:shd w:val="clear" w:color="auto" w:fill="70AD47" w:themeFill="accent6"/>
      </w:tcPr>
    </w:tblStylePr>
    <w:tblStylePr w:type="firstCol">
      <w:pPr>
        <w:snapToGrid/>
      </w:pPr>
      <w:rPr>
        <w:rFonts w:ascii="Arial" w:hAnsi="Arial"/>
        <w:b/>
        <w:color w:val="FFFFFF"/>
        <w:sz w:val="22"/>
      </w:rPr>
      <w:tcPr>
        <w:shd w:val="clear" w:color="auto" w:fill="70AD47" w:themeFill="accent6"/>
      </w:tcPr>
    </w:tblStylePr>
    <w:tblStylePr w:type="lastCol">
      <w:pPr>
        <w:snapToGrid/>
      </w:pPr>
      <w:rPr>
        <w:rFonts w:ascii="Arial" w:hAnsi="Arial"/>
        <w:b/>
        <w:color w:val="FFFFFF"/>
        <w:sz w:val="22"/>
      </w:rPr>
      <w:tcPr>
        <w:shd w:val="clear" w:color="auto" w:fill="70AD47" w:themeFill="accent6"/>
      </w:tcPr>
    </w:tblStylePr>
    <w:tblStylePr w:type="band1Vert">
      <w:pPr>
        <w:snapToGrid/>
      </w:pPr>
      <w:tcPr>
        <w:shd w:val="clear" w:color="auto" w:fill="BCDBA8" w:themeFill="accent6" w:themeFillTint="75"/>
      </w:tcPr>
    </w:tblStylePr>
    <w:tblStylePr w:type="band2Vert">
      <w:pPr>
        <w:snapToGrid/>
      </w:pPr>
    </w:tblStylePr>
    <w:tblStylePr w:type="band1Horz">
      <w:pPr>
        <w:snapToGrid/>
      </w:pPr>
      <w:tcPr>
        <w:shd w:val="clear" w:color="auto"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8">
    <w:name w:val="网格表 6 彩色1"/>
    <w:basedOn w:val="3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pPr>
        <w:snapToGrid/>
      </w:pPr>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pPr>
        <w:snapToGrid/>
      </w:pPr>
      <w:rPr>
        <w:b/>
        <w:color w:val="808080" w:themeColor="text1" w:themeTint="80"/>
        <w14:textFill>
          <w14:solidFill>
            <w14:schemeClr w14:val="tx1">
              <w14:lumMod w14:val="50000"/>
              <w14:lumOff w14:val="50000"/>
            </w14:schemeClr>
          </w14:solidFill>
        </w14:textFill>
      </w:rPr>
    </w:tblStylePr>
    <w:tblStylePr w:type="firstCol">
      <w:pPr>
        <w:snapToGrid/>
      </w:pPr>
      <w:rPr>
        <w:b/>
        <w:color w:val="808080" w:themeColor="text1" w:themeTint="80"/>
        <w14:textFill>
          <w14:solidFill>
            <w14:schemeClr w14:val="tx1">
              <w14:lumMod w14:val="50000"/>
              <w14:lumOff w14:val="50000"/>
            </w14:schemeClr>
          </w14:solidFill>
        </w14:textFill>
      </w:rPr>
    </w:tblStylePr>
    <w:tblStylePr w:type="lastCol">
      <w:pPr>
        <w:snapToGrid/>
      </w:pPr>
      <w:rPr>
        <w:b/>
        <w:color w:val="808080" w:themeColor="text1" w:themeTint="80"/>
        <w14:textFill>
          <w14:solidFill>
            <w14:schemeClr w14:val="tx1">
              <w14:lumMod w14:val="50000"/>
              <w14:lumOff w14:val="50000"/>
            </w14:schemeClr>
          </w14:solidFill>
        </w14:textFill>
      </w:rPr>
    </w:tblStylePr>
    <w:tblStylePr w:type="band1Vert">
      <w:pPr>
        <w:snapToGrid/>
      </w:pPr>
      <w:tcPr>
        <w:shd w:val="clear" w:color="auto" w:fill="CACACA" w:themeFill="text1" w:themeFillTint="34"/>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9">
    <w:name w:val="Grid Table 6 Colorful - Accent 1"/>
    <w:basedOn w:val="31"/>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pPr>
        <w:snapToGrid/>
      </w:pPr>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pPr>
        <w:snapToGrid/>
      </w:pPr>
      <w:rPr>
        <w:b/>
        <w:color w:val="ADCDEA" w:themeColor="accent1" w:themeTint="80"/>
        <w14:textFill>
          <w14:solidFill>
            <w14:schemeClr w14:val="accent1">
              <w14:lumMod w14:val="50000"/>
              <w14:lumOff w14:val="50000"/>
            </w14:schemeClr>
          </w14:solidFill>
        </w14:textFill>
      </w:rPr>
    </w:tblStylePr>
    <w:tblStylePr w:type="firstCol">
      <w:pPr>
        <w:snapToGrid/>
      </w:pPr>
      <w:rPr>
        <w:b/>
        <w:color w:val="ADCDEA" w:themeColor="accent1" w:themeTint="80"/>
        <w14:textFill>
          <w14:solidFill>
            <w14:schemeClr w14:val="accent1">
              <w14:lumMod w14:val="50000"/>
              <w14:lumOff w14:val="50000"/>
            </w14:schemeClr>
          </w14:solidFill>
        </w14:textFill>
      </w:rPr>
    </w:tblStylePr>
    <w:tblStylePr w:type="lastCol">
      <w:pPr>
        <w:snapToGrid/>
      </w:pPr>
      <w:rPr>
        <w:b/>
        <w:color w:val="ADCDEA" w:themeColor="accent1" w:themeTint="80"/>
        <w14:textFill>
          <w14:solidFill>
            <w14:schemeClr w14:val="accent1">
              <w14:lumMod w14:val="50000"/>
              <w14:lumOff w14:val="50000"/>
            </w14:schemeClr>
          </w14:solidFill>
        </w14:textFill>
      </w:rPr>
    </w:tblStylePr>
    <w:tblStylePr w:type="band1Vert">
      <w:pPr>
        <w:snapToGrid/>
      </w:pPr>
      <w:tcPr>
        <w:shd w:val="clear" w:color="auto" w:fill="DDEAF6" w:themeFill="accent1" w:themeFillTint="34"/>
      </w:tcPr>
    </w:tblStylePr>
    <w:tblStylePr w:type="band2Vert">
      <w:pPr>
        <w:snapToGrid/>
      </w:pPr>
    </w:tblStylePr>
    <w:tblStylePr w:type="band1Horz">
      <w:pPr>
        <w:snapToGrid/>
      </w:pPr>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pPr>
        <w:snapToGrid/>
      </w:pPr>
      <w:rPr>
        <w:rFonts w:ascii="Arial" w:hAnsi="Arial"/>
        <w:color w:val="ADCDEA"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0">
    <w:name w:val="Grid Table 6 Colorful - Accent 2"/>
    <w:basedOn w:val="31"/>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pPr>
        <w:snapToGrid/>
      </w:pPr>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pPr>
        <w:snapToGrid/>
      </w:pPr>
      <w:rPr>
        <w:b/>
        <w:color w:val="F4B285" w:themeColor="accent2" w:themeTint="96"/>
        <w14:textFill>
          <w14:solidFill>
            <w14:schemeClr w14:val="accent2">
              <w14:lumMod w14:val="59000"/>
              <w14:lumOff w14:val="41000"/>
            </w14:schemeClr>
          </w14:solidFill>
        </w14:textFill>
      </w:rPr>
    </w:tblStylePr>
    <w:tblStylePr w:type="firstCol">
      <w:pPr>
        <w:snapToGrid/>
      </w:pPr>
      <w:rPr>
        <w:b/>
        <w:color w:val="F4B285" w:themeColor="accent2" w:themeTint="96"/>
        <w14:textFill>
          <w14:solidFill>
            <w14:schemeClr w14:val="accent2">
              <w14:lumMod w14:val="59000"/>
              <w14:lumOff w14:val="41000"/>
            </w14:schemeClr>
          </w14:solidFill>
        </w14:textFill>
      </w:rPr>
    </w:tblStylePr>
    <w:tblStylePr w:type="lastCol">
      <w:pPr>
        <w:snapToGrid/>
      </w:pPr>
      <w:rPr>
        <w:b/>
        <w:color w:val="F4B285" w:themeColor="accent2" w:themeTint="96"/>
        <w14:textFill>
          <w14:solidFill>
            <w14:schemeClr w14:val="accent2">
              <w14:lumMod w14:val="59000"/>
              <w14:lumOff w14:val="41000"/>
            </w14:schemeClr>
          </w14:solidFill>
        </w14:textFill>
      </w:rPr>
    </w:tblStylePr>
    <w:tblStylePr w:type="band1Vert">
      <w:pPr>
        <w:snapToGrid/>
      </w:pPr>
      <w:tcPr>
        <w:shd w:val="clear" w:color="auto" w:fill="FBE5D6" w:themeFill="accent2" w:themeFillTint="32"/>
      </w:tcPr>
    </w:tblStylePr>
    <w:tblStylePr w:type="band2Vert">
      <w:pPr>
        <w:snapToGrid/>
      </w:pPr>
    </w:tblStylePr>
    <w:tblStylePr w:type="band1Horz">
      <w:pPr>
        <w:snapToGrid/>
      </w:pPr>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pPr>
        <w:snapToGrid/>
      </w:pPr>
      <w:rPr>
        <w:rFonts w:ascii="Arial" w:hAnsi="Arial"/>
        <w:color w:val="F4B285"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1">
    <w:name w:val="Grid Table 6 Colorful - Accent 3"/>
    <w:basedOn w:val="31"/>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pPr>
        <w:snapToGrid/>
      </w:pPr>
      <w:rPr>
        <w:b/>
        <w:color w:val="A5A5A5" w:themeColor="accent3"/>
        <w14:textFill>
          <w14:solidFill>
            <w14:schemeClr w14:val="accent3"/>
          </w14:solidFill>
        </w14:textFill>
      </w:rPr>
      <w:tcPr>
        <w:tcBorders>
          <w:bottom w:val="single" w:color="A5A5A5" w:themeColor="accent3" w:themeTint="FE" w:sz="12" w:space="0"/>
        </w:tcBorders>
      </w:tcPr>
    </w:tblStylePr>
    <w:tblStylePr w:type="lastRow">
      <w:pPr>
        <w:snapToGrid/>
      </w:pPr>
      <w:rPr>
        <w:b/>
        <w:color w:val="A5A5A5" w:themeColor="accent3"/>
        <w14:textFill>
          <w14:solidFill>
            <w14:schemeClr w14:val="accent3"/>
          </w14:solidFill>
        </w14:textFill>
      </w:rPr>
    </w:tblStylePr>
    <w:tblStylePr w:type="firstCol">
      <w:pPr>
        <w:snapToGrid/>
      </w:pPr>
      <w:rPr>
        <w:b/>
        <w:color w:val="A5A5A5" w:themeColor="accent3"/>
        <w14:textFill>
          <w14:solidFill>
            <w14:schemeClr w14:val="accent3"/>
          </w14:solidFill>
        </w14:textFill>
      </w:rPr>
    </w:tblStylePr>
    <w:tblStylePr w:type="lastCol">
      <w:pPr>
        <w:snapToGrid/>
      </w:pPr>
      <w:rPr>
        <w:b/>
        <w:color w:val="A5A5A5" w:themeColor="accent3"/>
        <w14:textFill>
          <w14:solidFill>
            <w14:schemeClr w14:val="accent3"/>
          </w14:solidFill>
        </w14:textFill>
      </w:rPr>
    </w:tblStylePr>
    <w:tblStylePr w:type="band1Vert">
      <w:pPr>
        <w:snapToGrid/>
      </w:p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pPr>
        <w:snapToGrid/>
      </w:pPr>
      <w:rPr>
        <w:rFonts w:ascii="Arial" w:hAnsi="Arial"/>
        <w:color w:val="A5A5A5" w:themeColor="accent3"/>
        <w:sz w:val="22"/>
        <w14:textFill>
          <w14:solidFill>
            <w14:schemeClr w14:val="accent3"/>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2">
    <w:name w:val="Grid Table 6 Colorful - Accent 4"/>
    <w:basedOn w:val="31"/>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pPr>
        <w:snapToGrid/>
      </w:pPr>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pPr>
        <w:snapToGrid/>
      </w:pPr>
      <w:rPr>
        <w:b/>
        <w:color w:val="FFD966" w:themeColor="accent4" w:themeTint="99"/>
        <w14:textFill>
          <w14:solidFill>
            <w14:schemeClr w14:val="accent4">
              <w14:lumMod w14:val="60000"/>
              <w14:lumOff w14:val="40000"/>
            </w14:schemeClr>
          </w14:solidFill>
        </w14:textFill>
      </w:rPr>
    </w:tblStylePr>
    <w:tblStylePr w:type="firstCol">
      <w:pPr>
        <w:snapToGrid/>
      </w:pPr>
      <w:rPr>
        <w:b/>
        <w:color w:val="FFD966" w:themeColor="accent4" w:themeTint="99"/>
        <w14:textFill>
          <w14:solidFill>
            <w14:schemeClr w14:val="accent4">
              <w14:lumMod w14:val="60000"/>
              <w14:lumOff w14:val="40000"/>
            </w14:schemeClr>
          </w14:solidFill>
        </w14:textFill>
      </w:rPr>
    </w:tblStylePr>
    <w:tblStylePr w:type="lastCol">
      <w:pPr>
        <w:snapToGrid/>
      </w:pPr>
      <w:rPr>
        <w:b/>
        <w:color w:val="FFD966" w:themeColor="accent4" w:themeTint="99"/>
        <w14:textFill>
          <w14:solidFill>
            <w14:schemeClr w14:val="accent4">
              <w14:lumMod w14:val="60000"/>
              <w14:lumOff w14:val="40000"/>
            </w14:schemeClr>
          </w14:solidFill>
        </w14:textFill>
      </w:rPr>
    </w:tblStylePr>
    <w:tblStylePr w:type="band1Vert">
      <w:pPr>
        <w:snapToGrid/>
      </w:pPr>
      <w:tcPr>
        <w:shd w:val="clear" w:color="auto" w:fill="FEF2CA" w:themeFill="accent4" w:themeFillTint="34"/>
      </w:tcPr>
    </w:tblStylePr>
    <w:tblStylePr w:type="band2Vert">
      <w:pPr>
        <w:snapToGrid/>
      </w:pPr>
    </w:tblStylePr>
    <w:tblStylePr w:type="band1Horz">
      <w:pPr>
        <w:snapToGrid/>
      </w:pPr>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pPr>
        <w:snapToGrid/>
      </w:pPr>
      <w:rPr>
        <w:rFonts w:ascii="Arial" w:hAnsi="Arial"/>
        <w:color w:val="FFD966"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3">
    <w:name w:val="Grid Table 6 Colorful - Accent 5"/>
    <w:basedOn w:val="31"/>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pPr>
        <w:snapToGrid/>
      </w:pPr>
      <w:rPr>
        <w:b/>
        <w:color w:val="254174" w:themeColor="accent5" w:themeShade="94"/>
      </w:rPr>
      <w:tcPr>
        <w:tcBorders>
          <w:bottom w:val="single" w:color="4472C4" w:themeColor="accent5" w:sz="12" w:space="0"/>
        </w:tcBorders>
      </w:tcPr>
    </w:tblStylePr>
    <w:tblStylePr w:type="lastRow">
      <w:pPr>
        <w:snapToGrid/>
      </w:pPr>
      <w:rPr>
        <w:b/>
        <w:color w:val="254174" w:themeColor="accent5" w:themeShade="94"/>
      </w:rPr>
    </w:tblStylePr>
    <w:tblStylePr w:type="firstCol">
      <w:pPr>
        <w:snapToGrid/>
      </w:pPr>
      <w:rPr>
        <w:b/>
        <w:color w:val="254174" w:themeColor="accent5" w:themeShade="94"/>
      </w:rPr>
    </w:tblStylePr>
    <w:tblStylePr w:type="lastCol">
      <w:pPr>
        <w:snapToGrid/>
      </w:pPr>
      <w:rPr>
        <w:b/>
        <w:color w:val="254174" w:themeColor="accent5" w:themeShade="94"/>
      </w:rPr>
    </w:tblStylePr>
    <w:tblStylePr w:type="band1Vert">
      <w:pPr>
        <w:snapToGrid/>
      </w:pPr>
      <w:tcPr>
        <w:shd w:val="clear" w:color="auto" w:fill="D8E2F2" w:themeFill="accent5" w:themeFillTint="34"/>
      </w:tcPr>
    </w:tblStylePr>
    <w:tblStylePr w:type="band2Vert">
      <w:pPr>
        <w:snapToGrid/>
      </w:pPr>
    </w:tblStylePr>
    <w:tblStylePr w:type="band1Horz">
      <w:pPr>
        <w:snapToGrid/>
      </w:pPr>
      <w:rPr>
        <w:rFonts w:ascii="Arial" w:hAnsi="Arial"/>
        <w:color w:val="254174" w:themeColor="accent5" w:themeShade="94"/>
        <w:sz w:val="22"/>
      </w:rPr>
      <w:tcPr>
        <w:shd w:val="clear" w:color="auto" w:fill="D8E2F2" w:themeFill="accent5" w:themeFillTint="34"/>
      </w:tcPr>
    </w:tblStylePr>
    <w:tblStylePr w:type="band2Horz">
      <w:pPr>
        <w:snapToGrid/>
      </w:pPr>
      <w:rPr>
        <w:rFonts w:ascii="Arial" w:hAnsi="Arial"/>
        <w:color w:val="25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4">
    <w:name w:val="Grid Table 6 Colorful - Accent 6"/>
    <w:basedOn w:val="31"/>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pPr>
        <w:snapToGrid/>
      </w:pPr>
      <w:rPr>
        <w:b/>
        <w:color w:val="254174" w:themeColor="accent5" w:themeShade="94"/>
      </w:rPr>
      <w:tcPr>
        <w:tcBorders>
          <w:bottom w:val="single" w:color="70AD47" w:themeColor="accent6" w:sz="12" w:space="0"/>
        </w:tcBorders>
      </w:tcPr>
    </w:tblStylePr>
    <w:tblStylePr w:type="lastRow">
      <w:pPr>
        <w:snapToGrid/>
      </w:pPr>
      <w:rPr>
        <w:b/>
        <w:color w:val="254174" w:themeColor="accent5" w:themeShade="94"/>
      </w:rPr>
    </w:tblStylePr>
    <w:tblStylePr w:type="firstCol">
      <w:pPr>
        <w:snapToGrid/>
      </w:pPr>
      <w:rPr>
        <w:b/>
        <w:color w:val="254174" w:themeColor="accent5" w:themeShade="94"/>
      </w:rPr>
    </w:tblStylePr>
    <w:tblStylePr w:type="lastCol">
      <w:pPr>
        <w:snapToGrid/>
      </w:pPr>
      <w:rPr>
        <w:b/>
        <w:color w:val="254174" w:themeColor="accent5" w:themeShade="94"/>
      </w:rPr>
    </w:tblStylePr>
    <w:tblStylePr w:type="band1Vert">
      <w:pPr>
        <w:snapToGrid/>
      </w:pPr>
      <w:tcPr>
        <w:shd w:val="clear" w:color="auto" w:fill="E1EFD8" w:themeFill="accent6" w:themeFillTint="34"/>
      </w:tcPr>
    </w:tblStylePr>
    <w:tblStylePr w:type="band2Vert">
      <w:pPr>
        <w:snapToGrid/>
      </w:pPr>
    </w:tblStylePr>
    <w:tblStylePr w:type="band1Horz">
      <w:pPr>
        <w:snapToGrid/>
      </w:pPr>
      <w:rPr>
        <w:rFonts w:ascii="Arial" w:hAnsi="Arial"/>
        <w:color w:val="254174" w:themeColor="accent5" w:themeShade="94"/>
        <w:sz w:val="22"/>
      </w:rPr>
      <w:tcPr>
        <w:shd w:val="clear" w:color="auto" w:fill="E1EFD8" w:themeFill="accent6" w:themeFillTint="34"/>
      </w:tcPr>
    </w:tblStylePr>
    <w:tblStylePr w:type="band2Horz">
      <w:pPr>
        <w:snapToGrid/>
      </w:pPr>
      <w:rPr>
        <w:rFonts w:ascii="Arial" w:hAnsi="Arial"/>
        <w:color w:val="25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5">
    <w:name w:val="网格表 7 彩色1"/>
    <w:basedOn w:val="3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pPr>
        <w:snapToGrid/>
      </w:pPr>
      <w:tcPr>
        <w:shd w:val="clear" w:color="auto" w:fill="F1F1F1" w:themeFill="text1" w:themeFillTint="0D"/>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6">
    <w:name w:val="Grid Table 7 Colorful - Accent 1"/>
    <w:basedOn w:val="31"/>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pPr>
        <w:snapToGrid/>
      </w:pPr>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auto" w:fill="FFFFFF" w:themeFill="light1"/>
      </w:tcPr>
    </w:tblStylePr>
    <w:tblStylePr w:type="lastRow">
      <w:pPr>
        <w:snapToGrid/>
      </w:pPr>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auto" w:fill="FFFFFF" w:themeFill="light1"/>
      </w:tcPr>
    </w:tblStylePr>
    <w:tblStylePr w:type="firstCol">
      <w:pPr>
        <w:snapToGrid/>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auto" w:fill="FFFFFF"/>
      </w:tcPr>
    </w:tblStylePr>
    <w:tblStylePr w:type="lastCol">
      <w:pPr>
        <w:snapToGrid/>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auto" w:fill="FFFFFF"/>
      </w:tcPr>
    </w:tblStylePr>
    <w:tblStylePr w:type="band1Vert">
      <w:pPr>
        <w:snapToGrid/>
      </w:pPr>
      <w:tcPr>
        <w:shd w:val="clear" w:color="auto" w:fill="DDEAF6" w:themeFill="accent1" w:themeFillTint="34"/>
      </w:tcPr>
    </w:tblStylePr>
    <w:tblStylePr w:type="band2Vert">
      <w:pPr>
        <w:snapToGrid/>
      </w:pPr>
    </w:tblStylePr>
    <w:tblStylePr w:type="band1Horz">
      <w:pPr>
        <w:snapToGrid/>
      </w:pPr>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pPr>
        <w:snapToGrid/>
      </w:pPr>
      <w:rPr>
        <w:rFonts w:ascii="Arial" w:hAnsi="Arial"/>
        <w:color w:val="ADCDEA"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7">
    <w:name w:val="Grid Table 7 Colorful - Accent 2"/>
    <w:basedOn w:val="31"/>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pPr>
        <w:snapToGrid/>
      </w:pPr>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pPr>
        <w:snapToGrid/>
      </w:pPr>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snapToGrid/>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pPr>
        <w:snapToGrid/>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pPr>
        <w:snapToGrid/>
      </w:pPr>
      <w:tcPr>
        <w:shd w:val="clear" w:color="auto" w:fill="FBE5D6" w:themeFill="accent2" w:themeFillTint="32"/>
      </w:tcPr>
    </w:tblStylePr>
    <w:tblStylePr w:type="band2Vert">
      <w:pPr>
        <w:snapToGrid/>
      </w:pPr>
    </w:tblStylePr>
    <w:tblStylePr w:type="band1Horz">
      <w:pPr>
        <w:snapToGrid/>
      </w:pPr>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pPr>
        <w:snapToGrid/>
      </w:pPr>
      <w:rPr>
        <w:rFonts w:ascii="Arial" w:hAnsi="Arial"/>
        <w:color w:val="F4B285"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8">
    <w:name w:val="Grid Table 7 Colorful - Accent 3"/>
    <w:basedOn w:val="31"/>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pPr>
        <w:snapToGrid/>
      </w:pPr>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auto" w:fill="FFFFFF" w:themeFill="light1"/>
      </w:tcPr>
    </w:tblStylePr>
    <w:tblStylePr w:type="lastRow">
      <w:pPr>
        <w:snapToGrid/>
      </w:pPr>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snapToGrid/>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auto" w:fill="FFFFFF"/>
      </w:tcPr>
    </w:tblStylePr>
    <w:tblStylePr w:type="lastCol">
      <w:pPr>
        <w:snapToGrid/>
      </w:pPr>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auto" w:fill="FFFFFF"/>
      </w:tcPr>
    </w:tblStylePr>
    <w:tblStylePr w:type="band1Vert">
      <w:pPr>
        <w:snapToGrid/>
      </w:p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pPr>
        <w:snapToGrid/>
      </w:pPr>
      <w:rPr>
        <w:rFonts w:ascii="Arial" w:hAnsi="Arial"/>
        <w:color w:val="A5A5A5" w:themeColor="accent3"/>
        <w:sz w:val="22"/>
        <w14:textFill>
          <w14:solidFill>
            <w14:schemeClr w14:val="accent3"/>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9">
    <w:name w:val="Grid Table 7 Colorful - Accent 4"/>
    <w:basedOn w:val="31"/>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pPr>
        <w:snapToGrid/>
      </w:pPr>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pPr>
        <w:snapToGrid/>
      </w:pPr>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snapToGrid/>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pPr>
        <w:snapToGrid/>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pPr>
        <w:snapToGrid/>
      </w:pPr>
      <w:tcPr>
        <w:shd w:val="clear" w:color="auto" w:fill="FEF2CA" w:themeFill="accent4" w:themeFillTint="34"/>
      </w:tcPr>
    </w:tblStylePr>
    <w:tblStylePr w:type="band2Vert">
      <w:pPr>
        <w:snapToGrid/>
      </w:pPr>
    </w:tblStylePr>
    <w:tblStylePr w:type="band1Horz">
      <w:pPr>
        <w:snapToGrid/>
      </w:pPr>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pPr>
        <w:snapToGrid/>
      </w:pPr>
      <w:rPr>
        <w:rFonts w:ascii="Arial" w:hAnsi="Arial"/>
        <w:color w:val="FFD966"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Grid Table 7 Colorful - Accent 5"/>
    <w:basedOn w:val="31"/>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pPr>
        <w:snapToGrid/>
      </w:pPr>
      <w:rPr>
        <w:rFonts w:ascii="Arial" w:hAnsi="Arial"/>
        <w:b/>
        <w:color w:val="254174" w:themeColor="accent5" w:themeShade="94"/>
        <w:sz w:val="22"/>
      </w:rPr>
      <w:tcPr>
        <w:tcBorders>
          <w:top w:val="nil"/>
          <w:left w:val="nil"/>
          <w:bottom w:val="single" w:color="95AFDD" w:themeColor="accent5" w:themeTint="90" w:sz="4" w:space="0"/>
          <w:right w:val="nil"/>
        </w:tcBorders>
        <w:shd w:val="clear" w:color="auto" w:fill="FFFFFF" w:themeFill="light1"/>
      </w:tcPr>
    </w:tblStylePr>
    <w:tblStylePr w:type="lastRow">
      <w:pPr>
        <w:snapToGrid/>
      </w:pPr>
      <w:rPr>
        <w:rFonts w:ascii="Arial" w:hAnsi="Arial"/>
        <w:b/>
        <w:color w:val="254174" w:themeColor="accent5" w:themeShade="94"/>
        <w:sz w:val="22"/>
      </w:rPr>
      <w:tcPr>
        <w:tcBorders>
          <w:top w:val="single" w:color="95AFDD" w:themeColor="accent5" w:themeTint="90" w:sz="4" w:space="0"/>
          <w:left w:val="nil"/>
          <w:bottom w:val="nil"/>
          <w:right w:val="nil"/>
        </w:tcBorders>
        <w:shd w:val="clear" w:color="auto" w:fill="FFFFFF" w:themeFill="light1"/>
      </w:tcPr>
    </w:tblStylePr>
    <w:tblStylePr w:type="firstCol">
      <w:pPr>
        <w:snapToGrid/>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auto" w:fill="FFFFFF"/>
      </w:tcPr>
    </w:tblStylePr>
    <w:tblStylePr w:type="lastCol">
      <w:pPr>
        <w:snapToGrid/>
      </w:pPr>
      <w:rPr>
        <w:rFonts w:ascii="Arial" w:hAnsi="Arial"/>
        <w:i/>
        <w:color w:val="254174" w:themeColor="accent5" w:themeShade="94"/>
        <w:sz w:val="22"/>
      </w:rPr>
      <w:tcPr>
        <w:tcBorders>
          <w:top w:val="nil"/>
          <w:left w:val="single" w:color="95AFDD" w:themeColor="accent5" w:themeTint="90" w:sz="4" w:space="0"/>
          <w:bottom w:val="nil"/>
          <w:right w:val="nil"/>
        </w:tcBorders>
        <w:shd w:val="clear" w:color="auto" w:fill="FFFFFF"/>
      </w:tcPr>
    </w:tblStylePr>
    <w:tblStylePr w:type="band1Vert">
      <w:pPr>
        <w:snapToGrid/>
      </w:pPr>
      <w:tcPr>
        <w:shd w:val="clear" w:color="auto" w:fill="D8E2F2" w:themeFill="accent5" w:themeFillTint="34"/>
      </w:tcPr>
    </w:tblStylePr>
    <w:tblStylePr w:type="band2Vert">
      <w:pPr>
        <w:snapToGrid/>
      </w:pPr>
    </w:tblStylePr>
    <w:tblStylePr w:type="band1Horz">
      <w:pPr>
        <w:snapToGrid/>
      </w:pPr>
      <w:rPr>
        <w:rFonts w:ascii="Arial" w:hAnsi="Arial"/>
        <w:color w:val="254174" w:themeColor="accent5" w:themeShade="94"/>
        <w:sz w:val="22"/>
      </w:rPr>
      <w:tcPr>
        <w:shd w:val="clear" w:color="auto" w:fill="D8E2F2" w:themeFill="accent5" w:themeFillTint="34"/>
      </w:tcPr>
    </w:tblStylePr>
    <w:tblStylePr w:type="band2Horz">
      <w:pPr>
        <w:snapToGrid/>
      </w:pPr>
      <w:rPr>
        <w:rFonts w:ascii="Arial" w:hAnsi="Arial"/>
        <w:color w:val="25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Grid Table 7 Colorful - Accent 6"/>
    <w:basedOn w:val="31"/>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pPr>
        <w:snapToGrid/>
      </w:pPr>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pPr>
        <w:snapToGrid/>
      </w:pPr>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snapToGrid/>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FFFFFF"/>
      </w:tcPr>
    </w:tblStylePr>
    <w:tblStylePr w:type="lastCol">
      <w:pPr>
        <w:snapToGrid/>
      </w:pPr>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FFFFFF"/>
      </w:tcPr>
    </w:tblStylePr>
    <w:tblStylePr w:type="band1Vert">
      <w:pPr>
        <w:snapToGrid/>
      </w:pPr>
      <w:tcPr>
        <w:shd w:val="clear" w:color="auto" w:fill="E1EFD8" w:themeFill="accent6" w:themeFillTint="34"/>
      </w:tcPr>
    </w:tblStylePr>
    <w:tblStylePr w:type="band2Vert">
      <w:pPr>
        <w:snapToGrid/>
      </w:pPr>
    </w:tblStylePr>
    <w:tblStylePr w:type="band1Horz">
      <w:pPr>
        <w:snapToGrid/>
      </w:pPr>
      <w:rPr>
        <w:rFonts w:ascii="Arial" w:hAnsi="Arial"/>
        <w:color w:val="416429" w:themeColor="accent6" w:themeShade="94"/>
        <w:sz w:val="22"/>
      </w:rPr>
      <w:tcPr>
        <w:shd w:val="clear" w:color="auto" w:fill="E1EFD8" w:themeFill="accent6" w:themeFillTint="34"/>
      </w:tcPr>
    </w:tblStylePr>
    <w:tblStylePr w:type="band2Horz">
      <w:pPr>
        <w:snapToGrid/>
      </w:pPr>
      <w:rPr>
        <w:rFonts w:ascii="Arial" w:hAnsi="Arial"/>
        <w:color w:val="416429"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31"/>
    <w:qFormat/>
    <w:uiPriority w:val="99"/>
    <w:tblPr>
      <w:tblCellMar>
        <w:top w:w="0" w:type="dxa"/>
        <w:left w:w="108" w:type="dxa"/>
        <w:bottom w:w="0" w:type="dxa"/>
        <w:right w:w="108" w:type="dxa"/>
      </w:tblCellMar>
    </w:tblPr>
    <w:tblStylePr w:type="firstRow">
      <w:pPr>
        <w:snapToGrid/>
      </w:pPr>
      <w:rPr>
        <w:b/>
        <w:color w:val="404040"/>
      </w:rPr>
      <w:tcPr>
        <w:tcBorders>
          <w:top w:val="nil"/>
          <w:left w:val="nil"/>
          <w:bottom w:val="single" w:color="000000" w:themeColor="text1" w:sz="4" w:space="0"/>
          <w:right w:val="nil"/>
        </w:tcBorders>
      </w:tcPr>
    </w:tblStylePr>
    <w:tblStylePr w:type="lastRow">
      <w:pPr>
        <w:snapToGrid/>
      </w:pPr>
      <w:rPr>
        <w:b/>
        <w:color w:val="404040"/>
      </w:rPr>
      <w:tcPr>
        <w:tcBorders>
          <w:top w:val="single" w:color="000000" w:themeColor="tex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BEBEBE" w:themeFill="text1" w:themeFillTint="40"/>
      </w:tcPr>
    </w:tblStylePr>
    <w:tblStylePr w:type="band2Vert">
      <w:pPr>
        <w:snapToGrid/>
      </w:pPr>
    </w:tblStylePr>
    <w:tblStylePr w:type="band1Horz">
      <w:pPr>
        <w:snapToGrid/>
      </w:pPr>
      <w:tcPr>
        <w:shd w:val="clear" w:color="auto"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List Table 1 Light - Accent 1"/>
    <w:basedOn w:val="31"/>
    <w:qFormat/>
    <w:uiPriority w:val="99"/>
    <w:tblPr>
      <w:tblCellMar>
        <w:top w:w="0" w:type="dxa"/>
        <w:left w:w="108" w:type="dxa"/>
        <w:bottom w:w="0" w:type="dxa"/>
        <w:right w:w="108" w:type="dxa"/>
      </w:tblCellMar>
    </w:tblPr>
    <w:tblStylePr w:type="firstRow">
      <w:pPr>
        <w:snapToGrid/>
      </w:pPr>
      <w:rPr>
        <w:b/>
        <w:color w:val="404040"/>
      </w:rPr>
      <w:tcPr>
        <w:tcBorders>
          <w:top w:val="nil"/>
          <w:left w:val="nil"/>
          <w:bottom w:val="single" w:color="5B9BD5" w:themeColor="accent1" w:sz="4" w:space="0"/>
          <w:right w:val="nil"/>
        </w:tcBorders>
      </w:tcPr>
    </w:tblStylePr>
    <w:tblStylePr w:type="lastRow">
      <w:pPr>
        <w:snapToGrid/>
      </w:pPr>
      <w:rPr>
        <w:b/>
        <w:color w:val="404040"/>
      </w:rPr>
      <w:tcPr>
        <w:tcBorders>
          <w:top w:val="single" w:color="5B9BD5" w:themeColor="accen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D5E5F4" w:themeFill="accent1" w:themeFillTint="40"/>
      </w:tcPr>
    </w:tblStylePr>
    <w:tblStylePr w:type="band2Vert">
      <w:pPr>
        <w:snapToGrid/>
      </w:pPr>
    </w:tblStylePr>
    <w:tblStylePr w:type="band1Horz">
      <w:pPr>
        <w:snapToGrid/>
      </w:p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List Table 1 Light - Accent 2"/>
    <w:basedOn w:val="31"/>
    <w:qFormat/>
    <w:uiPriority w:val="99"/>
    <w:tblPr>
      <w:tblCellMar>
        <w:top w:w="0" w:type="dxa"/>
        <w:left w:w="108" w:type="dxa"/>
        <w:bottom w:w="0" w:type="dxa"/>
        <w:right w:w="108" w:type="dxa"/>
      </w:tblCellMar>
    </w:tblPr>
    <w:tblStylePr w:type="firstRow">
      <w:pPr>
        <w:snapToGrid/>
      </w:pPr>
      <w:rPr>
        <w:b/>
        <w:color w:val="404040"/>
      </w:rPr>
      <w:tcPr>
        <w:tcBorders>
          <w:top w:val="nil"/>
          <w:left w:val="nil"/>
          <w:bottom w:val="single" w:color="ED7D31" w:themeColor="accent2" w:sz="4" w:space="0"/>
          <w:right w:val="nil"/>
        </w:tcBorders>
      </w:tcPr>
    </w:tblStylePr>
    <w:tblStylePr w:type="lastRow">
      <w:pPr>
        <w:snapToGrid/>
      </w:pPr>
      <w:rPr>
        <w:b/>
        <w:color w:val="404040"/>
      </w:rPr>
      <w:tcPr>
        <w:tcBorders>
          <w:top w:val="single" w:color="ED7D31" w:themeColor="accent2"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FADECB" w:themeFill="accent2" w:themeFillTint="40"/>
      </w:tcPr>
    </w:tblStylePr>
    <w:tblStylePr w:type="band2Vert">
      <w:pPr>
        <w:snapToGrid/>
      </w:pPr>
    </w:tblStylePr>
    <w:tblStylePr w:type="band1Horz">
      <w:pPr>
        <w:snapToGrid/>
      </w:p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List Table 1 Light - Accent 3"/>
    <w:basedOn w:val="31"/>
    <w:qFormat/>
    <w:uiPriority w:val="99"/>
    <w:tblPr>
      <w:tblCellMar>
        <w:top w:w="0" w:type="dxa"/>
        <w:left w:w="108" w:type="dxa"/>
        <w:bottom w:w="0" w:type="dxa"/>
        <w:right w:w="108" w:type="dxa"/>
      </w:tblCellMar>
    </w:tblPr>
    <w:tblStylePr w:type="firstRow">
      <w:pPr>
        <w:snapToGrid/>
      </w:pPr>
      <w:rPr>
        <w:b/>
        <w:color w:val="404040"/>
      </w:rPr>
      <w:tcPr>
        <w:tcBorders>
          <w:top w:val="nil"/>
          <w:left w:val="nil"/>
          <w:bottom w:val="single" w:color="A5A5A5" w:themeColor="accent3" w:sz="4" w:space="0"/>
          <w:right w:val="nil"/>
        </w:tcBorders>
      </w:tcPr>
    </w:tblStylePr>
    <w:tblStylePr w:type="lastRow">
      <w:pPr>
        <w:snapToGrid/>
      </w:pPr>
      <w:rPr>
        <w:b/>
        <w:color w:val="404040"/>
      </w:rPr>
      <w:tcPr>
        <w:tcBorders>
          <w:top w:val="single" w:color="A5A5A5" w:themeColor="accent3"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E8E8E8" w:themeFill="accent3" w:themeFillTint="40"/>
      </w:tcPr>
    </w:tblStylePr>
    <w:tblStylePr w:type="band2Vert">
      <w:pPr>
        <w:snapToGrid/>
      </w:pPr>
    </w:tblStylePr>
    <w:tblStylePr w:type="band1Horz">
      <w:pPr>
        <w:snapToGrid/>
      </w:p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6">
    <w:name w:val="List Table 1 Light - Accent 4"/>
    <w:basedOn w:val="31"/>
    <w:qFormat/>
    <w:uiPriority w:val="99"/>
    <w:tblPr>
      <w:tblCellMar>
        <w:top w:w="0" w:type="dxa"/>
        <w:left w:w="108" w:type="dxa"/>
        <w:bottom w:w="0" w:type="dxa"/>
        <w:right w:w="108" w:type="dxa"/>
      </w:tblCellMar>
    </w:tblPr>
    <w:tblStylePr w:type="firstRow">
      <w:pPr>
        <w:snapToGrid/>
      </w:pPr>
      <w:rPr>
        <w:b/>
        <w:color w:val="404040"/>
      </w:rPr>
      <w:tcPr>
        <w:tcBorders>
          <w:top w:val="nil"/>
          <w:left w:val="nil"/>
          <w:bottom w:val="single" w:color="FFC000" w:themeColor="accent4" w:sz="4" w:space="0"/>
          <w:right w:val="nil"/>
        </w:tcBorders>
      </w:tcPr>
    </w:tblStylePr>
    <w:tblStylePr w:type="lastRow">
      <w:pPr>
        <w:snapToGrid/>
      </w:pPr>
      <w:rPr>
        <w:b/>
        <w:color w:val="404040"/>
      </w:rPr>
      <w:tcPr>
        <w:tcBorders>
          <w:top w:val="single" w:color="FFC000" w:themeColor="accent4"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FFEFBE" w:themeFill="accent4" w:themeFillTint="40"/>
      </w:tcPr>
    </w:tblStylePr>
    <w:tblStylePr w:type="band2Vert">
      <w:pPr>
        <w:snapToGrid/>
      </w:pPr>
    </w:tblStylePr>
    <w:tblStylePr w:type="band1Horz">
      <w:pPr>
        <w:snapToGrid/>
      </w:pPr>
      <w:tcPr>
        <w:shd w:val="clear" w:color="auto" w:fill="FFEFBE"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7">
    <w:name w:val="List Table 1 Light - Accent 5"/>
    <w:basedOn w:val="31"/>
    <w:qFormat/>
    <w:uiPriority w:val="99"/>
    <w:tblPr>
      <w:tblCellMar>
        <w:top w:w="0" w:type="dxa"/>
        <w:left w:w="108" w:type="dxa"/>
        <w:bottom w:w="0" w:type="dxa"/>
        <w:right w:w="108" w:type="dxa"/>
      </w:tblCellMar>
    </w:tblPr>
    <w:tblStylePr w:type="firstRow">
      <w:pPr>
        <w:snapToGrid/>
      </w:pPr>
      <w:rPr>
        <w:b/>
        <w:color w:val="404040"/>
      </w:rPr>
      <w:tcPr>
        <w:tcBorders>
          <w:top w:val="nil"/>
          <w:left w:val="nil"/>
          <w:bottom w:val="single" w:color="4472C4" w:themeColor="accent5" w:sz="4" w:space="0"/>
          <w:right w:val="nil"/>
        </w:tcBorders>
      </w:tcPr>
    </w:tblStylePr>
    <w:tblStylePr w:type="lastRow">
      <w:pPr>
        <w:snapToGrid/>
      </w:pPr>
      <w:rPr>
        <w:b/>
        <w:color w:val="404040"/>
      </w:rPr>
      <w:tcPr>
        <w:tcBorders>
          <w:top w:val="single" w:color="4472C4" w:themeColor="accent5"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D0DBF0" w:themeFill="accent5" w:themeFillTint="40"/>
      </w:tcPr>
    </w:tblStylePr>
    <w:tblStylePr w:type="band2Vert">
      <w:pPr>
        <w:snapToGrid/>
      </w:pPr>
    </w:tblStylePr>
    <w:tblStylePr w:type="band1Horz">
      <w:pPr>
        <w:snapToGrid/>
      </w:pPr>
      <w:tcPr>
        <w:shd w:val="clear" w:color="auto" w:fill="D0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8">
    <w:name w:val="List Table 1 Light - Accent 6"/>
    <w:basedOn w:val="31"/>
    <w:qFormat/>
    <w:uiPriority w:val="99"/>
    <w:tblPr>
      <w:tblCellMar>
        <w:top w:w="0" w:type="dxa"/>
        <w:left w:w="108" w:type="dxa"/>
        <w:bottom w:w="0" w:type="dxa"/>
        <w:right w:w="108" w:type="dxa"/>
      </w:tblCellMar>
    </w:tblPr>
    <w:tblStylePr w:type="firstRow">
      <w:pPr>
        <w:snapToGrid/>
      </w:pPr>
      <w:rPr>
        <w:b/>
        <w:color w:val="404040"/>
      </w:rPr>
      <w:tcPr>
        <w:tcBorders>
          <w:top w:val="nil"/>
          <w:left w:val="nil"/>
          <w:bottom w:val="single" w:color="70AD47" w:themeColor="accent6" w:sz="4" w:space="0"/>
          <w:right w:val="nil"/>
        </w:tcBorders>
      </w:tcPr>
    </w:tblStylePr>
    <w:tblStylePr w:type="lastRow">
      <w:pPr>
        <w:snapToGrid/>
      </w:pPr>
      <w:rPr>
        <w:b/>
        <w:color w:val="404040"/>
      </w:rPr>
      <w:tcPr>
        <w:tcBorders>
          <w:top w:val="single" w:color="70AD47" w:themeColor="accent6"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DAEBCF" w:themeFill="accent6" w:themeFillTint="40"/>
      </w:tcPr>
    </w:tblStylePr>
    <w:tblStylePr w:type="band2Vert">
      <w:pPr>
        <w:snapToGrid/>
      </w:pPr>
    </w:tblStylePr>
    <w:tblStylePr w:type="band1Horz">
      <w:pPr>
        <w:snapToGrid/>
      </w:p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9">
    <w:name w:val="清单表 21"/>
    <w:basedOn w:val="3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BEBEBE" w:themeFill="text1" w:themeFillTint="40"/>
      </w:tcPr>
    </w:tblStylePr>
    <w:tblStylePr w:type="band2Vert">
      <w:pPr>
        <w:snapToGrid/>
      </w:pPr>
    </w:tblStylePr>
    <w:tblStylePr w:type="band1Horz">
      <w:pPr>
        <w:snapToGrid/>
      </w:pPr>
      <w:rPr>
        <w:rFonts w:ascii="Arial" w:hAnsi="Arial"/>
        <w:color w:val="404040"/>
        <w:sz w:val="22"/>
      </w:rPr>
      <w:tcPr>
        <w:shd w:val="clear" w:color="auto"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0">
    <w:name w:val="List Table 2 - Accent 1"/>
    <w:basedOn w:val="31"/>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pPr>
        <w:snapToGrid/>
      </w:pPr>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pPr>
        <w:snapToGrid/>
      </w:pPr>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1">
    <w:name w:val="List Table 2 - Accent 2"/>
    <w:basedOn w:val="31"/>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pPr>
        <w:snapToGrid/>
      </w:pPr>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pPr>
        <w:snapToGrid/>
      </w:pPr>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2">
    <w:name w:val="List Table 2 - Accent 3"/>
    <w:basedOn w:val="31"/>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pPr>
        <w:snapToGrid/>
      </w:pPr>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pPr>
        <w:snapToGrid/>
      </w:pPr>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3">
    <w:name w:val="List Table 2 - Accent 4"/>
    <w:basedOn w:val="31"/>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pPr>
        <w:snapToGrid/>
      </w:pPr>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pPr>
        <w:snapToGrid/>
      </w:pPr>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FFEFBE" w:themeFill="accent4" w:themeFillTint="40"/>
      </w:tcPr>
    </w:tblStylePr>
    <w:tblStylePr w:type="band2Vert">
      <w:pPr>
        <w:snapToGrid/>
      </w:pPr>
    </w:tblStylePr>
    <w:tblStylePr w:type="band1Horz">
      <w:pPr>
        <w:snapToGrid/>
      </w:pPr>
      <w:rPr>
        <w:rFonts w:ascii="Arial" w:hAnsi="Arial"/>
        <w:color w:val="404040"/>
        <w:sz w:val="22"/>
      </w:rPr>
      <w:tcPr>
        <w:shd w:val="clear" w:color="auto" w:fill="FFEFBE"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4">
    <w:name w:val="List Table 2 - Accent 5"/>
    <w:basedOn w:val="31"/>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pPr>
        <w:snapToGrid/>
      </w:pPr>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pPr>
        <w:snapToGrid/>
      </w:pPr>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D0DBF0" w:themeFill="accent5" w:themeFillTint="40"/>
      </w:tcPr>
    </w:tblStylePr>
    <w:tblStylePr w:type="band2Vert">
      <w:pPr>
        <w:snapToGrid/>
      </w:pPr>
    </w:tblStylePr>
    <w:tblStylePr w:type="band1Horz">
      <w:pPr>
        <w:snapToGrid/>
      </w:pPr>
      <w:rPr>
        <w:rFonts w:ascii="Arial" w:hAnsi="Arial"/>
        <w:color w:val="404040"/>
        <w:sz w:val="22"/>
      </w:rPr>
      <w:tcPr>
        <w:shd w:val="clear" w:color="auto" w:fill="D0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5">
    <w:name w:val="List Table 2 - Accent 6"/>
    <w:basedOn w:val="31"/>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pPr>
        <w:snapToGrid/>
      </w:pPr>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pPr>
        <w:snapToGrid/>
      </w:pPr>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6">
    <w:name w:val="清单表 31"/>
    <w:basedOn w:val="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000000" w:themeColor="text1" w:sz="4" w:space="0"/>
          <w:right w:val="single" w:color="000000" w:themeColor="text1" w:sz="4" w:space="0"/>
        </w:tcBorders>
      </w:tcPr>
    </w:tblStylePr>
    <w:tblStylePr w:type="band2Vert">
      <w:pPr>
        <w:snapToGrid/>
      </w:pPr>
    </w:tblStylePr>
    <w:tblStylePr w:type="band1Horz">
      <w:pPr>
        <w:snapToGrid/>
      </w:pPr>
      <w:rPr>
        <w:rFonts w:ascii="Arial" w:hAnsi="Arial"/>
        <w:color w:val="404040"/>
        <w:sz w:val="22"/>
      </w:r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7">
    <w:name w:val="List Table 3 - Accent 1"/>
    <w:basedOn w:val="31"/>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5B9BD5" w:themeColor="accent1" w:sz="4" w:space="0"/>
          <w:right w:val="single" w:color="5B9BD5" w:themeColor="accent1" w:sz="4" w:space="0"/>
        </w:tcBorders>
      </w:tcPr>
    </w:tblStylePr>
    <w:tblStylePr w:type="band2Vert">
      <w:pPr>
        <w:snapToGrid/>
      </w:pPr>
    </w:tblStylePr>
    <w:tblStylePr w:type="band1Horz">
      <w:pPr>
        <w:snapToGrid/>
      </w:pPr>
      <w:rPr>
        <w:rFonts w:ascii="Arial" w:hAnsi="Arial"/>
        <w:color w:val="404040"/>
        <w:sz w:val="22"/>
      </w:rPr>
      <w:tcPr>
        <w:tcBorders>
          <w:top w:val="single" w:color="5B9BD5" w:themeColor="accent1" w:sz="4" w:space="0"/>
          <w:bottom w:val="single" w:color="5B9BD5" w:themeColor="accen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8">
    <w:name w:val="List Table 3 - Accent 2"/>
    <w:basedOn w:val="31"/>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F4B28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pPr>
        <w:snapToGrid/>
      </w:pPr>
    </w:tblStylePr>
    <w:tblStylePr w:type="band1Horz">
      <w:pPr>
        <w:snapToGrid/>
      </w:pPr>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9">
    <w:name w:val="List Table 3 - Accent 3"/>
    <w:basedOn w:val="31"/>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pPr>
        <w:snapToGrid/>
      </w:pPr>
    </w:tblStylePr>
    <w:tblStylePr w:type="band1Horz">
      <w:pPr>
        <w:snapToGrid/>
      </w:pPr>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0">
    <w:name w:val="List Table 3 - Accent 4"/>
    <w:basedOn w:val="31"/>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FFD864"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pPr>
        <w:snapToGrid/>
      </w:pPr>
    </w:tblStylePr>
    <w:tblStylePr w:type="band1Horz">
      <w:pPr>
        <w:snapToGrid/>
      </w:pPr>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1">
    <w:name w:val="List Table 3 - Accent 5"/>
    <w:basedOn w:val="31"/>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8E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pPr>
        <w:snapToGrid/>
      </w:pPr>
    </w:tblStylePr>
    <w:tblStylePr w:type="band1Horz">
      <w:pPr>
        <w:snapToGrid/>
      </w:pPr>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2">
    <w:name w:val="List Table 3 - Accent 6"/>
    <w:basedOn w:val="31"/>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pPr>
        <w:snapToGrid/>
      </w:pPr>
    </w:tblStylePr>
    <w:tblStylePr w:type="band1Horz">
      <w:pPr>
        <w:snapToGrid/>
      </w:pPr>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3">
    <w:name w:val="清单表 41"/>
    <w:basedOn w:val="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BEBEBE" w:themeFill="text1" w:themeFillTint="40"/>
      </w:tcPr>
    </w:tblStylePr>
    <w:tblStylePr w:type="band2Vert">
      <w:pPr>
        <w:snapToGrid/>
      </w:pPr>
    </w:tblStylePr>
    <w:tblStylePr w:type="band1Horz">
      <w:pPr>
        <w:snapToGrid/>
      </w:pPr>
      <w:rPr>
        <w:rFonts w:ascii="Arial" w:hAnsi="Arial"/>
        <w:color w:val="404040"/>
        <w:sz w:val="22"/>
      </w:rPr>
      <w:tcPr>
        <w:shd w:val="clear" w:color="auto"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4">
    <w:name w:val="List Table 4 - Accent 1"/>
    <w:basedOn w:val="31"/>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5">
    <w:name w:val="List Table 4 - Accent 2"/>
    <w:basedOn w:val="31"/>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6">
    <w:name w:val="List Table 4 - Accent 3"/>
    <w:basedOn w:val="31"/>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7">
    <w:name w:val="List Table 4 - Accent 4"/>
    <w:basedOn w:val="31"/>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FEFBE" w:themeFill="accent4" w:themeFillTint="40"/>
      </w:tcPr>
    </w:tblStylePr>
    <w:tblStylePr w:type="band2Vert">
      <w:pPr>
        <w:snapToGrid/>
      </w:pPr>
    </w:tblStylePr>
    <w:tblStylePr w:type="band1Horz">
      <w:pPr>
        <w:snapToGrid/>
      </w:pPr>
      <w:rPr>
        <w:rFonts w:ascii="Arial" w:hAnsi="Arial"/>
        <w:color w:val="404040"/>
        <w:sz w:val="22"/>
      </w:rPr>
      <w:tcPr>
        <w:shd w:val="clear" w:color="auto" w:fill="FFEFBE"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8">
    <w:name w:val="List Table 4 - Accent 5"/>
    <w:basedOn w:val="31"/>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0DBF0" w:themeFill="accent5" w:themeFillTint="40"/>
      </w:tcPr>
    </w:tblStylePr>
    <w:tblStylePr w:type="band2Vert">
      <w:pPr>
        <w:snapToGrid/>
      </w:pPr>
    </w:tblStylePr>
    <w:tblStylePr w:type="band1Horz">
      <w:pPr>
        <w:snapToGrid/>
      </w:pPr>
      <w:rPr>
        <w:rFonts w:ascii="Arial" w:hAnsi="Arial"/>
        <w:color w:val="404040"/>
        <w:sz w:val="22"/>
      </w:rPr>
      <w:tcPr>
        <w:shd w:val="clear" w:color="auto" w:fill="D0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9">
    <w:name w:val="List Table 4 - Accent 6"/>
    <w:basedOn w:val="31"/>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pPr>
        <w:snapToGrid/>
      </w:pPr>
      <w:rPr>
        <w:rFonts w:ascii="Arial" w:hAnsi="Arial"/>
        <w:b/>
        <w:color w:val="FFFFFF"/>
        <w:sz w:val="22"/>
      </w:rPr>
      <w:tcPr>
        <w:shd w:val="clear" w:color="auto"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0">
    <w:name w:val="清单表 5 深色1"/>
    <w:basedOn w:val="3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pPr>
        <w:snapToGrid/>
      </w:pPr>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pPr>
        <w:snapToGrid/>
      </w:pPr>
      <w:tcPr>
        <w:tcBorders>
          <w:left w:val="single" w:color="FFFFFF" w:themeColor="light1" w:sz="4" w:space="0"/>
          <w:right w:val="single" w:color="7E7E7E" w:themeColor="text1" w:themeTint="80" w:sz="32" w:space="0"/>
        </w:tcBorders>
      </w:tcPr>
    </w:tblStylePr>
    <w:tblStylePr w:type="band1Vert">
      <w:pPr>
        <w:snapToGrid/>
      </w:pPr>
      <w:tcPr>
        <w:tcBorders>
          <w:left w:val="single" w:color="FFFFFF" w:themeColor="light1" w:sz="4" w:space="0"/>
          <w:right w:val="single" w:color="FFFFFF" w:themeColor="light1" w:sz="4" w:space="0"/>
        </w:tcBorders>
        <w:shd w:val="clear" w:color="auto" w:fill="7E7E7E" w:themeFill="text1" w:themeFillTint="80"/>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7E7E7E" w:themeFill="text1" w:themeFillTint="80"/>
      </w:tcPr>
    </w:tblStylePr>
    <w:tblStylePr w:type="band2Horz">
      <w:pPr>
        <w:snapToGrid/>
      </w:pPr>
      <w:tcPr>
        <w:tcBorders>
          <w:top w:val="single" w:color="FFFFFF" w:themeColor="light1" w:sz="4" w:space="0"/>
          <w:bottom w:val="single" w:color="FFFFFF" w:themeColor="light1" w:sz="4" w:space="0"/>
        </w:tcBorders>
        <w:shd w:val="clear" w:color="auto" w:fill="7E7E7E"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1">
    <w:name w:val="List Table 5 Dark - Accent 1"/>
    <w:basedOn w:val="31"/>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pPr>
        <w:snapToGrid/>
      </w:pPr>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auto" w:fill="5B9BD5" w:themeFill="accent1"/>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pPr>
        <w:snapToGrid/>
      </w:pPr>
      <w:tcPr>
        <w:tcBorders>
          <w:left w:val="single" w:color="FFFFFF" w:themeColor="light1" w:sz="4" w:space="0"/>
          <w:right w:val="single" w:color="5B9BD5" w:themeColor="accent1" w:sz="32" w:space="0"/>
        </w:tcBorders>
      </w:tcPr>
    </w:tblStylePr>
    <w:tblStylePr w:type="band1Vert">
      <w:pPr>
        <w:snapToGrid/>
      </w:pPr>
      <w:tcPr>
        <w:tcBorders>
          <w:left w:val="single" w:color="FFFFFF" w:themeColor="light1" w:sz="4" w:space="0"/>
          <w:right w:val="single" w:color="FFFFFF" w:themeColor="light1" w:sz="4" w:space="0"/>
        </w:tcBorders>
        <w:shd w:val="clear" w:color="auto" w:fill="5B9BD5" w:themeFill="accent1"/>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5B9BD5" w:themeFill="accent1"/>
      </w:tcPr>
    </w:tblStylePr>
    <w:tblStylePr w:type="band2Horz">
      <w:pPr>
        <w:snapToGrid/>
      </w:pPr>
      <w:tcPr>
        <w:tcBorders>
          <w:top w:val="single" w:color="FFFFFF" w:themeColor="light1" w:sz="4" w:space="0"/>
          <w:bottom w:val="single" w:color="FFFFFF" w:themeColor="light1" w:sz="4" w:space="0"/>
        </w:tcBorders>
        <w:shd w:val="clear" w:color="auto"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2">
    <w:name w:val="List Table 5 Dark - Accent 2"/>
    <w:basedOn w:val="31"/>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pPr>
        <w:snapToGrid/>
      </w:pPr>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pPr>
        <w:snapToGrid/>
      </w:pPr>
      <w:tcPr>
        <w:tcBorders>
          <w:left w:val="single" w:color="FFFFFF" w:themeColor="light1" w:sz="4" w:space="0"/>
          <w:right w:val="single" w:color="F4B285" w:themeColor="accent2" w:themeTint="97" w:sz="32" w:space="0"/>
        </w:tcBorders>
      </w:tcPr>
    </w:tblStylePr>
    <w:tblStylePr w:type="band1Vert">
      <w:pPr>
        <w:snapToGrid/>
      </w:pPr>
      <w:tcPr>
        <w:tcBorders>
          <w:left w:val="single" w:color="FFFFFF" w:themeColor="light1" w:sz="4" w:space="0"/>
          <w:right w:val="single" w:color="FFFFFF" w:themeColor="light1" w:sz="4" w:space="0"/>
        </w:tcBorders>
        <w:shd w:val="clear" w:color="auto" w:fill="F4B285" w:themeFill="accent2" w:themeFillTint="97"/>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F4B285" w:themeFill="accent2" w:themeFillTint="97"/>
      </w:tcPr>
    </w:tblStylePr>
    <w:tblStylePr w:type="band2Horz">
      <w:pPr>
        <w:snapToGrid/>
      </w:pPr>
      <w:tcPr>
        <w:tcBorders>
          <w:top w:val="single" w:color="FFFFFF" w:themeColor="light1" w:sz="4" w:space="0"/>
          <w:bottom w:val="single" w:color="FFFFFF" w:themeColor="light1" w:sz="4" w:space="0"/>
        </w:tcBorders>
        <w:shd w:val="clear" w:color="auto" w:fill="F4B28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3">
    <w:name w:val="List Table 5 Dark - Accent 3"/>
    <w:basedOn w:val="31"/>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pPr>
        <w:snapToGrid/>
      </w:pPr>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pPr>
        <w:snapToGrid/>
      </w:pPr>
      <w:tcPr>
        <w:tcBorders>
          <w:left w:val="single" w:color="FFFFFF" w:themeColor="light1" w:sz="4" w:space="0"/>
          <w:right w:val="single" w:color="C9C9C9" w:themeColor="accent3" w:themeTint="98" w:sz="32" w:space="0"/>
        </w:tcBorders>
      </w:tcPr>
    </w:tblStylePr>
    <w:tblStylePr w:type="band1Vert">
      <w:pPr>
        <w:snapToGrid/>
      </w:pPr>
      <w:tcPr>
        <w:tcBorders>
          <w:left w:val="single" w:color="FFFFFF" w:themeColor="light1" w:sz="4" w:space="0"/>
          <w:right w:val="single" w:color="FFFFFF" w:themeColor="light1" w:sz="4" w:space="0"/>
        </w:tcBorders>
        <w:shd w:val="clear" w:color="auto" w:fill="C9C9C9" w:themeFill="accent3"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C9C9C9" w:themeFill="accent3" w:themeFillTint="98"/>
      </w:tcPr>
    </w:tblStylePr>
    <w:tblStylePr w:type="band2Horz">
      <w:pPr>
        <w:snapToGrid/>
      </w:pPr>
      <w:tcPr>
        <w:tcBorders>
          <w:top w:val="single" w:color="FFFFFF" w:themeColor="light1" w:sz="4" w:space="0"/>
          <w:bottom w:val="single" w:color="FFFFFF" w:themeColor="light1" w:sz="4" w:space="0"/>
        </w:tcBorders>
        <w:shd w:val="clear" w:color="auto"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4">
    <w:name w:val="List Table 5 Dark - Accent 4"/>
    <w:basedOn w:val="31"/>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pPr>
        <w:snapToGrid/>
      </w:pPr>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pPr>
        <w:snapToGrid/>
      </w:pPr>
      <w:tcPr>
        <w:tcBorders>
          <w:left w:val="single" w:color="FFFFFF" w:themeColor="light1" w:sz="4" w:space="0"/>
          <w:right w:val="single" w:color="FFD864" w:themeColor="accent4" w:themeTint="9A" w:sz="32" w:space="0"/>
        </w:tcBorders>
      </w:tcPr>
    </w:tblStylePr>
    <w:tblStylePr w:type="band1Vert">
      <w:pPr>
        <w:snapToGrid/>
      </w:pPr>
      <w:tcPr>
        <w:tcBorders>
          <w:left w:val="single" w:color="FFFFFF" w:themeColor="light1" w:sz="4" w:space="0"/>
          <w:right w:val="single" w:color="FFFFFF" w:themeColor="light1" w:sz="4" w:space="0"/>
        </w:tcBorders>
        <w:shd w:val="clear" w:color="auto" w:fill="FFD864" w:themeFill="accent4"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FFD864" w:themeFill="accent4" w:themeFillTint="9A"/>
      </w:tcPr>
    </w:tblStylePr>
    <w:tblStylePr w:type="band2Horz">
      <w:pPr>
        <w:snapToGrid/>
      </w:pPr>
      <w:tcPr>
        <w:tcBorders>
          <w:top w:val="single" w:color="FFFFFF" w:themeColor="light1" w:sz="4" w:space="0"/>
          <w:bottom w:val="single" w:color="FFFFFF" w:themeColor="light1" w:sz="4" w:space="0"/>
        </w:tcBorders>
        <w:shd w:val="clear" w:color="auto" w:fill="FFD864"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5">
    <w:name w:val="List Table 5 Dark - Accent 5"/>
    <w:basedOn w:val="31"/>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pPr>
        <w:snapToGrid/>
      </w:pPr>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auto" w:fill="8EA9DB" w:themeFill="accent5"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pPr>
        <w:snapToGrid/>
      </w:pPr>
      <w:tcPr>
        <w:tcBorders>
          <w:left w:val="single" w:color="FFFFFF" w:themeColor="light1" w:sz="4" w:space="0"/>
          <w:right w:val="single" w:color="8EA9DB" w:themeColor="accent5" w:themeTint="9A" w:sz="32" w:space="0"/>
        </w:tcBorders>
      </w:tcPr>
    </w:tblStylePr>
    <w:tblStylePr w:type="band1Vert">
      <w:pPr>
        <w:snapToGrid/>
      </w:pPr>
      <w:tcPr>
        <w:tcBorders>
          <w:left w:val="single" w:color="FFFFFF" w:themeColor="light1" w:sz="4" w:space="0"/>
          <w:right w:val="single" w:color="FFFFFF" w:themeColor="light1" w:sz="4" w:space="0"/>
        </w:tcBorders>
        <w:shd w:val="clear" w:color="auto" w:fill="8EA9DB" w:themeFill="accent5"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8EA9DB" w:themeFill="accent5" w:themeFillTint="9A"/>
      </w:tcPr>
    </w:tblStylePr>
    <w:tblStylePr w:type="band2Horz">
      <w:pPr>
        <w:snapToGrid/>
      </w:pPr>
      <w:tcPr>
        <w:tcBorders>
          <w:top w:val="single" w:color="FFFFFF" w:themeColor="light1" w:sz="4" w:space="0"/>
          <w:bottom w:val="single" w:color="FFFFFF" w:themeColor="light1" w:sz="4" w:space="0"/>
        </w:tcBorders>
        <w:shd w:val="clear" w:color="auto" w:fill="8E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6">
    <w:name w:val="List Table 5 Dark - Accent 6"/>
    <w:basedOn w:val="31"/>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pPr>
        <w:snapToGrid/>
      </w:pPr>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pPr>
        <w:snapToGrid/>
      </w:pPr>
      <w:tcPr>
        <w:tcBorders>
          <w:left w:val="single" w:color="FFFFFF" w:themeColor="light1" w:sz="4" w:space="0"/>
          <w:right w:val="single" w:color="A9D08E" w:themeColor="accent6" w:themeTint="98" w:sz="32" w:space="0"/>
        </w:tcBorders>
      </w:tcPr>
    </w:tblStylePr>
    <w:tblStylePr w:type="band1Vert">
      <w:pPr>
        <w:snapToGrid/>
      </w:pPr>
      <w:tcPr>
        <w:tcBorders>
          <w:left w:val="single" w:color="FFFFFF" w:themeColor="light1" w:sz="4" w:space="0"/>
          <w:right w:val="single" w:color="FFFFFF" w:themeColor="light1" w:sz="4" w:space="0"/>
        </w:tcBorders>
        <w:shd w:val="clear" w:color="auto" w:fill="A9D08E" w:themeFill="accent6"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A9D08E" w:themeFill="accent6" w:themeFillTint="98"/>
      </w:tcPr>
    </w:tblStylePr>
    <w:tblStylePr w:type="band2Horz">
      <w:pPr>
        <w:snapToGrid/>
      </w:pPr>
      <w:tcPr>
        <w:tcBorders>
          <w:top w:val="single" w:color="FFFFFF" w:themeColor="light1" w:sz="4" w:space="0"/>
          <w:bottom w:val="single" w:color="FFFFFF" w:themeColor="light1" w:sz="4" w:space="0"/>
        </w:tcBorders>
        <w:shd w:val="clear" w:color="auto"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7">
    <w:name w:val="清单表 6 彩色1"/>
    <w:basedOn w:val="31"/>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pPr>
        <w:snapToGrid/>
      </w:pPr>
      <w:rPr>
        <w:b/>
        <w:color w:val="000000" w:themeColor="text1"/>
        <w14:textFill>
          <w14:solidFill>
            <w14:schemeClr w14:val="tx1"/>
          </w14:solidFill>
        </w14:textFill>
      </w:rPr>
      <w:tcPr>
        <w:tcBorders>
          <w:bottom w:val="single" w:color="7E7E7E" w:themeColor="text1" w:themeTint="80" w:sz="4" w:space="0"/>
        </w:tcBorders>
      </w:tcPr>
    </w:tblStylePr>
    <w:tblStylePr w:type="lastRow">
      <w:pPr>
        <w:snapToGrid/>
      </w:pPr>
      <w:rPr>
        <w:b/>
        <w:color w:val="000000" w:themeColor="text1"/>
        <w14:textFill>
          <w14:solidFill>
            <w14:schemeClr w14:val="tx1"/>
          </w14:solidFill>
        </w14:textFill>
      </w:rPr>
      <w:tcPr>
        <w:tcBorders>
          <w:top w:val="single" w:color="7E7E7E" w:themeColor="text1" w:themeTint="80" w:sz="4" w:space="0"/>
        </w:tcBorders>
      </w:tcPr>
    </w:tblStylePr>
    <w:tblStylePr w:type="firstCol">
      <w:pPr>
        <w:snapToGrid/>
      </w:pPr>
      <w:rPr>
        <w:b/>
        <w:color w:val="000000" w:themeColor="text1"/>
        <w14:textFill>
          <w14:solidFill>
            <w14:schemeClr w14:val="tx1"/>
          </w14:solidFill>
        </w14:textFill>
      </w:rPr>
    </w:tblStylePr>
    <w:tblStylePr w:type="lastCol">
      <w:pPr>
        <w:snapToGrid/>
      </w:pPr>
      <w:rPr>
        <w:b/>
        <w:color w:val="000000" w:themeColor="text1"/>
        <w14:textFill>
          <w14:solidFill>
            <w14:schemeClr w14:val="tx1"/>
          </w14:solidFill>
        </w14:textFill>
      </w:rPr>
    </w:tblStylePr>
    <w:tblStylePr w:type="band1Vert">
      <w:pPr>
        <w:snapToGrid/>
      </w:pPr>
      <w:tcPr>
        <w:shd w:val="clear" w:color="auto" w:fill="BEBEBE" w:themeFill="text1" w:themeFillTint="40"/>
      </w:tcPr>
    </w:tblStylePr>
    <w:tblStylePr w:type="band2Vert">
      <w:pPr>
        <w:snapToGrid/>
      </w:pPr>
    </w:tblStylePr>
    <w:tblStylePr w:type="band1Horz">
      <w:pPr>
        <w:snapToGrid/>
      </w:pPr>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pPr>
        <w:snapToGrid/>
      </w:pPr>
      <w:rPr>
        <w:rFonts w:ascii="Arial" w:hAnsi="Arial"/>
        <w:color w:val="000000" w:themeColor="text1"/>
        <w:sz w:val="22"/>
        <w14:textFill>
          <w14:solidFill>
            <w14:schemeClr w14:val="tx1"/>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8">
    <w:name w:val="List Table 6 Colorful - Accent 1"/>
    <w:basedOn w:val="31"/>
    <w:qFormat/>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pPr>
        <w:snapToGrid/>
      </w:pPr>
      <w:rPr>
        <w:b/>
        <w:color w:val="245B8C" w:themeColor="accent1" w:themeShade="94"/>
      </w:rPr>
      <w:tcPr>
        <w:tcBorders>
          <w:bottom w:val="single" w:color="5B9BD5" w:themeColor="accent1" w:sz="4" w:space="0"/>
        </w:tcBorders>
      </w:tcPr>
    </w:tblStylePr>
    <w:tblStylePr w:type="lastRow">
      <w:pPr>
        <w:snapToGrid/>
      </w:pPr>
      <w:rPr>
        <w:b/>
        <w:color w:val="245B8C" w:themeColor="accent1" w:themeShade="94"/>
      </w:rPr>
      <w:tcPr>
        <w:tcBorders>
          <w:top w:val="single" w:color="5B9BD5" w:themeColor="accent1" w:sz="4" w:space="0"/>
        </w:tcBorders>
      </w:tcPr>
    </w:tblStylePr>
    <w:tblStylePr w:type="firstCol">
      <w:pPr>
        <w:snapToGrid/>
      </w:pPr>
      <w:rPr>
        <w:b/>
        <w:color w:val="245B8C" w:themeColor="accent1" w:themeShade="94"/>
      </w:rPr>
    </w:tblStylePr>
    <w:tblStylePr w:type="lastCol">
      <w:pPr>
        <w:snapToGrid/>
      </w:pPr>
      <w:rPr>
        <w:b/>
        <w:color w:val="245B8C" w:themeColor="accent1" w:themeShade="94"/>
      </w:rPr>
    </w:tblStylePr>
    <w:tblStylePr w:type="band1Vert">
      <w:pPr>
        <w:snapToGrid/>
      </w:pPr>
      <w:tcPr>
        <w:shd w:val="clear" w:color="auto" w:fill="D5E5F4" w:themeFill="accent1" w:themeFillTint="40"/>
      </w:tcPr>
    </w:tblStylePr>
    <w:tblStylePr w:type="band2Vert">
      <w:pPr>
        <w:snapToGrid/>
      </w:pPr>
    </w:tblStylePr>
    <w:tblStylePr w:type="band1Horz">
      <w:pPr>
        <w:snapToGrid/>
      </w:pPr>
      <w:rPr>
        <w:rFonts w:ascii="Arial" w:hAnsi="Arial"/>
        <w:color w:val="245B8C" w:themeColor="accent1" w:themeShade="94"/>
        <w:sz w:val="22"/>
      </w:rPr>
      <w:tcPr>
        <w:shd w:val="clear" w:color="auto" w:fill="D5E5F4" w:themeFill="accent1" w:themeFillTint="40"/>
      </w:tcPr>
    </w:tblStylePr>
    <w:tblStylePr w:type="band2Horz">
      <w:pPr>
        <w:snapToGrid/>
      </w:pPr>
      <w:rPr>
        <w:rFonts w:ascii="Arial" w:hAnsi="Arial"/>
        <w:color w:val="245B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9">
    <w:name w:val="List Table 6 Colorful - Accent 2"/>
    <w:basedOn w:val="31"/>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pPr>
        <w:snapToGrid/>
      </w:pPr>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pPr>
        <w:snapToGrid/>
      </w:pPr>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pPr>
        <w:snapToGrid/>
      </w:pPr>
      <w:rPr>
        <w:b/>
        <w:color w:val="F4B285" w:themeColor="accent2" w:themeTint="96"/>
        <w14:textFill>
          <w14:solidFill>
            <w14:schemeClr w14:val="accent2">
              <w14:lumMod w14:val="59000"/>
              <w14:lumOff w14:val="41000"/>
            </w14:schemeClr>
          </w14:solidFill>
        </w14:textFill>
      </w:rPr>
    </w:tblStylePr>
    <w:tblStylePr w:type="lastCol">
      <w:pPr>
        <w:snapToGrid/>
      </w:pPr>
      <w:rPr>
        <w:b/>
        <w:color w:val="F4B285" w:themeColor="accent2" w:themeTint="96"/>
        <w14:textFill>
          <w14:solidFill>
            <w14:schemeClr w14:val="accent2">
              <w14:lumMod w14:val="59000"/>
              <w14:lumOff w14:val="41000"/>
            </w14:schemeClr>
          </w14:solidFill>
        </w14:textFill>
      </w:rPr>
    </w:tblStylePr>
    <w:tblStylePr w:type="band1Vert">
      <w:pPr>
        <w:snapToGrid/>
      </w:pPr>
      <w:tcPr>
        <w:shd w:val="clear" w:color="auto" w:fill="FADECB" w:themeFill="accent2" w:themeFillTint="40"/>
      </w:tcPr>
    </w:tblStylePr>
    <w:tblStylePr w:type="band2Vert">
      <w:pPr>
        <w:snapToGrid/>
      </w:pPr>
    </w:tblStylePr>
    <w:tblStylePr w:type="band1Horz">
      <w:pPr>
        <w:snapToGrid/>
      </w:pPr>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pPr>
        <w:snapToGrid/>
      </w:pPr>
      <w:rPr>
        <w:rFonts w:ascii="Arial" w:hAnsi="Arial"/>
        <w:color w:val="F4B285"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0">
    <w:name w:val="List Table 6 Colorful - Accent 3"/>
    <w:basedOn w:val="31"/>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pPr>
        <w:snapToGrid/>
      </w:pPr>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pPr>
        <w:snapToGrid/>
      </w:pPr>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pPr>
        <w:snapToGrid/>
      </w:pPr>
      <w:rPr>
        <w:b/>
        <w:color w:val="C9C9C9" w:themeColor="accent3" w:themeTint="99"/>
        <w14:textFill>
          <w14:solidFill>
            <w14:schemeClr w14:val="accent3">
              <w14:lumMod w14:val="60000"/>
              <w14:lumOff w14:val="40000"/>
            </w14:schemeClr>
          </w14:solidFill>
        </w14:textFill>
      </w:rPr>
    </w:tblStylePr>
    <w:tblStylePr w:type="lastCol">
      <w:pPr>
        <w:snapToGrid/>
      </w:pPr>
      <w:rPr>
        <w:b/>
        <w:color w:val="C9C9C9" w:themeColor="accent3" w:themeTint="99"/>
        <w14:textFill>
          <w14:solidFill>
            <w14:schemeClr w14:val="accent3">
              <w14:lumMod w14:val="60000"/>
              <w14:lumOff w14:val="40000"/>
            </w14:schemeClr>
          </w14:solidFill>
        </w14:textFill>
      </w:rPr>
    </w:tblStylePr>
    <w:tblStylePr w:type="band1Vert">
      <w:pPr>
        <w:snapToGrid/>
      </w:p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pPr>
        <w:snapToGrid/>
      </w:pPr>
      <w:rPr>
        <w:rFonts w:ascii="Arial" w:hAnsi="Arial"/>
        <w:color w:val="C9C9C9"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1">
    <w:name w:val="List Table 6 Colorful - Accent 4"/>
    <w:basedOn w:val="31"/>
    <w:qFormat/>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pPr>
        <w:snapToGrid/>
      </w:pPr>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pPr>
        <w:snapToGrid/>
      </w:pPr>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pPr>
        <w:snapToGrid/>
      </w:pPr>
      <w:rPr>
        <w:b/>
        <w:color w:val="FFD966" w:themeColor="accent4" w:themeTint="99"/>
        <w14:textFill>
          <w14:solidFill>
            <w14:schemeClr w14:val="accent4">
              <w14:lumMod w14:val="60000"/>
              <w14:lumOff w14:val="40000"/>
            </w14:schemeClr>
          </w14:solidFill>
        </w14:textFill>
      </w:rPr>
    </w:tblStylePr>
    <w:tblStylePr w:type="lastCol">
      <w:pPr>
        <w:snapToGrid/>
      </w:pPr>
      <w:rPr>
        <w:b/>
        <w:color w:val="FFD966" w:themeColor="accent4" w:themeTint="99"/>
        <w14:textFill>
          <w14:solidFill>
            <w14:schemeClr w14:val="accent4">
              <w14:lumMod w14:val="60000"/>
              <w14:lumOff w14:val="40000"/>
            </w14:schemeClr>
          </w14:solidFill>
        </w14:textFill>
      </w:rPr>
    </w:tblStylePr>
    <w:tblStylePr w:type="band1Vert">
      <w:pPr>
        <w:snapToGrid/>
      </w:pPr>
      <w:tcPr>
        <w:shd w:val="clear" w:color="auto" w:fill="FFEFBE" w:themeFill="accent4" w:themeFillTint="40"/>
      </w:tcPr>
    </w:tblStylePr>
    <w:tblStylePr w:type="band2Vert">
      <w:pPr>
        <w:snapToGrid/>
      </w:pPr>
    </w:tblStylePr>
    <w:tblStylePr w:type="band1Horz">
      <w:pPr>
        <w:snapToGrid/>
      </w:pPr>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pPr>
        <w:snapToGrid/>
      </w:pPr>
      <w:rPr>
        <w:rFonts w:ascii="Arial" w:hAnsi="Arial"/>
        <w:color w:val="FFD966"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2">
    <w:name w:val="List Table 6 Colorful - Accent 5"/>
    <w:basedOn w:val="31"/>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pPr>
        <w:snapToGrid/>
      </w:pPr>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pPr>
        <w:snapToGrid/>
      </w:pPr>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pPr>
        <w:snapToGrid/>
      </w:pPr>
      <w:rPr>
        <w:b/>
        <w:color w:val="8FAADC" w:themeColor="accent5" w:themeTint="99"/>
        <w14:textFill>
          <w14:solidFill>
            <w14:schemeClr w14:val="accent5">
              <w14:lumMod w14:val="60000"/>
              <w14:lumOff w14:val="40000"/>
            </w14:schemeClr>
          </w14:solidFill>
        </w14:textFill>
      </w:rPr>
    </w:tblStylePr>
    <w:tblStylePr w:type="lastCol">
      <w:pPr>
        <w:snapToGrid/>
      </w:pPr>
      <w:rPr>
        <w:b/>
        <w:color w:val="8FAADC" w:themeColor="accent5" w:themeTint="99"/>
        <w14:textFill>
          <w14:solidFill>
            <w14:schemeClr w14:val="accent5">
              <w14:lumMod w14:val="60000"/>
              <w14:lumOff w14:val="40000"/>
            </w14:schemeClr>
          </w14:solidFill>
        </w14:textFill>
      </w:rPr>
    </w:tblStylePr>
    <w:tblStylePr w:type="band1Vert">
      <w:pPr>
        <w:snapToGrid/>
      </w:pPr>
      <w:tcPr>
        <w:shd w:val="clear" w:color="auto" w:fill="D0DBF0" w:themeFill="accent5" w:themeFillTint="40"/>
      </w:tcPr>
    </w:tblStylePr>
    <w:tblStylePr w:type="band2Vert">
      <w:pPr>
        <w:snapToGrid/>
      </w:pPr>
    </w:tblStylePr>
    <w:tblStylePr w:type="band1Horz">
      <w:pPr>
        <w:snapToGrid/>
      </w:pPr>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pPr>
        <w:snapToGrid/>
      </w:pPr>
      <w:rPr>
        <w:rFonts w:ascii="Arial" w:hAnsi="Arial"/>
        <w:color w:val="8FAADC"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3">
    <w:name w:val="List Table 6 Colorful - Accent 6"/>
    <w:basedOn w:val="31"/>
    <w:qFormat/>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pPr>
        <w:snapToGrid/>
      </w:pPr>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pPr>
        <w:snapToGrid/>
      </w:pPr>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pPr>
        <w:snapToGrid/>
      </w:pPr>
      <w:rPr>
        <w:b/>
        <w:color w:val="A9D18E" w:themeColor="accent6" w:themeTint="99"/>
        <w14:textFill>
          <w14:solidFill>
            <w14:schemeClr w14:val="accent6">
              <w14:lumMod w14:val="60000"/>
              <w14:lumOff w14:val="40000"/>
            </w14:schemeClr>
          </w14:solidFill>
        </w14:textFill>
      </w:rPr>
    </w:tblStylePr>
    <w:tblStylePr w:type="lastCol">
      <w:pPr>
        <w:snapToGrid/>
      </w:pPr>
      <w:rPr>
        <w:b/>
        <w:color w:val="A9D18E" w:themeColor="accent6" w:themeTint="99"/>
        <w14:textFill>
          <w14:solidFill>
            <w14:schemeClr w14:val="accent6">
              <w14:lumMod w14:val="60000"/>
              <w14:lumOff w14:val="40000"/>
            </w14:schemeClr>
          </w14:solidFill>
        </w14:textFill>
      </w:rPr>
    </w:tblStylePr>
    <w:tblStylePr w:type="band1Vert">
      <w:pPr>
        <w:snapToGrid/>
      </w:pPr>
      <w:tcPr>
        <w:shd w:val="clear" w:color="auto" w:fill="DAEBCF" w:themeFill="accent6" w:themeFillTint="40"/>
      </w:tcPr>
    </w:tblStylePr>
    <w:tblStylePr w:type="band2Vert">
      <w:pPr>
        <w:snapToGrid/>
      </w:pPr>
    </w:tblStylePr>
    <w:tblStylePr w:type="band1Horz">
      <w:pPr>
        <w:snapToGrid/>
      </w:pPr>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pPr>
        <w:snapToGrid/>
      </w:pPr>
      <w:rPr>
        <w:rFonts w:ascii="Arial" w:hAnsi="Arial"/>
        <w:color w:val="A9D18E"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4">
    <w:name w:val="清单表 7 彩色1"/>
    <w:basedOn w:val="31"/>
    <w:qFormat/>
    <w:uiPriority w:val="99"/>
    <w:tblPr>
      <w:tblBorders>
        <w:right w:val="single" w:color="7E7E7E" w:themeColor="text1" w:themeTint="80" w:sz="4" w:space="0"/>
      </w:tblBorders>
      <w:tblCellMar>
        <w:top w:w="0" w:type="dxa"/>
        <w:left w:w="108" w:type="dxa"/>
        <w:bottom w:w="0" w:type="dxa"/>
        <w:right w:w="108" w:type="dxa"/>
      </w:tblCellMar>
    </w:tblPr>
    <w:tblStylePr w:type="fir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pPr>
        <w:snapToGrid/>
      </w:pPr>
      <w:tcPr>
        <w:shd w:val="clear" w:color="auto" w:fill="BEBEBE" w:themeFill="text1" w:themeFillTint="40"/>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5">
    <w:name w:val="List Table 7 Colorful - Accent 1"/>
    <w:basedOn w:val="31"/>
    <w:qFormat/>
    <w:uiPriority w:val="99"/>
    <w:tblPr>
      <w:tblBorders>
        <w:right w:val="single" w:color="5B9BD5" w:themeColor="accent1" w:sz="4" w:space="0"/>
      </w:tblBorders>
      <w:tblCellMar>
        <w:top w:w="0" w:type="dxa"/>
        <w:left w:w="108" w:type="dxa"/>
        <w:bottom w:w="0" w:type="dxa"/>
        <w:right w:w="108" w:type="dxa"/>
      </w:tblCellMar>
    </w:tblPr>
    <w:tblStylePr w:type="firstRow">
      <w:pPr>
        <w:snapToGrid/>
      </w:pPr>
      <w:rPr>
        <w:rFonts w:ascii="Arial" w:hAnsi="Arial"/>
        <w:i/>
        <w:color w:val="245B8C" w:themeColor="accent1" w:themeShade="94"/>
        <w:sz w:val="22"/>
      </w:rPr>
      <w:tcPr>
        <w:tcBorders>
          <w:top w:val="nil"/>
          <w:left w:val="nil"/>
          <w:bottom w:val="single" w:color="5B9BD5" w:themeColor="accent1" w:sz="4" w:space="0"/>
          <w:right w:val="nil"/>
        </w:tcBorders>
        <w:shd w:val="clear" w:color="auto" w:fill="FFFFFF" w:themeFill="light1"/>
      </w:tcPr>
    </w:tblStylePr>
    <w:tblStylePr w:type="lastRow">
      <w:pPr>
        <w:snapToGrid/>
      </w:pPr>
      <w:rPr>
        <w:rFonts w:ascii="Arial" w:hAnsi="Arial"/>
        <w:i/>
        <w:color w:val="245B8C" w:themeColor="accent1" w:themeShade="94"/>
        <w:sz w:val="22"/>
      </w:rPr>
      <w:tcPr>
        <w:tcBorders>
          <w:top w:val="single" w:color="5B9BD5" w:themeColor="accent1" w:sz="4" w:space="0"/>
          <w:left w:val="nil"/>
          <w:bottom w:val="nil"/>
          <w:right w:val="nil"/>
        </w:tcBorders>
        <w:shd w:val="clear" w:color="auto" w:fill="FFFFFF" w:themeFill="light1"/>
      </w:tcPr>
    </w:tblStylePr>
    <w:tblStylePr w:type="firstCol">
      <w:pPr>
        <w:snapToGrid/>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auto" w:fill="FFFFFF"/>
      </w:tcPr>
    </w:tblStylePr>
    <w:tblStylePr w:type="lastCol">
      <w:pPr>
        <w:snapToGrid/>
      </w:pPr>
      <w:rPr>
        <w:rFonts w:ascii="Arial" w:hAnsi="Arial"/>
        <w:i/>
        <w:color w:val="245B8C" w:themeColor="accent1" w:themeShade="94"/>
        <w:sz w:val="22"/>
      </w:rPr>
      <w:tcPr>
        <w:tcBorders>
          <w:top w:val="nil"/>
          <w:left w:val="single" w:color="5B9BD5" w:themeColor="accent1" w:sz="4" w:space="0"/>
          <w:bottom w:val="nil"/>
          <w:right w:val="nil"/>
        </w:tcBorders>
        <w:shd w:val="clear" w:color="auto" w:fill="FFFFFF"/>
      </w:tcPr>
    </w:tblStylePr>
    <w:tblStylePr w:type="band1Vert">
      <w:pPr>
        <w:snapToGrid/>
      </w:pPr>
      <w:tcPr>
        <w:shd w:val="clear" w:color="auto" w:fill="D5E5F4" w:themeFill="accent1" w:themeFillTint="40"/>
      </w:tcPr>
    </w:tblStylePr>
    <w:tblStylePr w:type="band2Vert">
      <w:pPr>
        <w:snapToGrid/>
      </w:pPr>
    </w:tblStylePr>
    <w:tblStylePr w:type="band1Horz">
      <w:pPr>
        <w:snapToGrid/>
      </w:pPr>
      <w:rPr>
        <w:rFonts w:ascii="Arial" w:hAnsi="Arial"/>
        <w:color w:val="245B8C" w:themeColor="accent1" w:themeShade="94"/>
        <w:sz w:val="22"/>
      </w:rPr>
      <w:tcPr>
        <w:shd w:val="clear" w:color="auto" w:fill="D5E5F4" w:themeFill="accent1" w:themeFillTint="40"/>
      </w:tcPr>
    </w:tblStylePr>
    <w:tblStylePr w:type="band2Horz">
      <w:pPr>
        <w:snapToGrid/>
      </w:pPr>
      <w:rPr>
        <w:rFonts w:ascii="Arial" w:hAnsi="Arial"/>
        <w:color w:val="245B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6">
    <w:name w:val="List Table 7 Colorful - Accent 2"/>
    <w:basedOn w:val="31"/>
    <w:qFormat/>
    <w:uiPriority w:val="99"/>
    <w:tblPr>
      <w:tblBorders>
        <w:right w:val="single" w:color="F4B285" w:themeColor="accent2" w:themeTint="97" w:sz="4" w:space="0"/>
      </w:tblBorders>
      <w:tblCellMar>
        <w:top w:w="0" w:type="dxa"/>
        <w:left w:w="108" w:type="dxa"/>
        <w:bottom w:w="0" w:type="dxa"/>
        <w:right w:w="108" w:type="dxa"/>
      </w:tblCellMar>
    </w:tblPr>
    <w:tblStylePr w:type="firstRow">
      <w:pPr>
        <w:snapToGrid/>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pPr>
        <w:snapToGrid/>
      </w:pPr>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snapToGrid/>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pPr>
        <w:snapToGrid/>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pPr>
        <w:snapToGrid/>
      </w:pPr>
      <w:tcPr>
        <w:shd w:val="clear" w:color="auto" w:fill="FADECB" w:themeFill="accent2" w:themeFillTint="40"/>
      </w:tcPr>
    </w:tblStylePr>
    <w:tblStylePr w:type="band2Vert">
      <w:pPr>
        <w:snapToGrid/>
      </w:pPr>
    </w:tblStylePr>
    <w:tblStylePr w:type="band1Horz">
      <w:pPr>
        <w:snapToGrid/>
      </w:pPr>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pPr>
        <w:snapToGrid/>
      </w:pPr>
      <w:rPr>
        <w:rFonts w:ascii="Arial" w:hAnsi="Arial"/>
        <w:color w:val="F4B285"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7">
    <w:name w:val="List Table 7 Colorful - Accent 3"/>
    <w:basedOn w:val="31"/>
    <w:qFormat/>
    <w:uiPriority w:val="99"/>
    <w:tblPr>
      <w:tblBorders>
        <w:right w:val="single" w:color="C9C9C9" w:themeColor="accent3" w:themeTint="98" w:sz="4" w:space="0"/>
      </w:tblBorders>
      <w:tblCellMar>
        <w:top w:w="0" w:type="dxa"/>
        <w:left w:w="108" w:type="dxa"/>
        <w:bottom w:w="0" w:type="dxa"/>
        <w:right w:w="108" w:type="dxa"/>
      </w:tblCellMar>
    </w:tblPr>
    <w:tblStylePr w:type="firstRow">
      <w:pPr>
        <w:snapToGrid/>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pPr>
        <w:snapToGrid/>
      </w:pPr>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snapToGrid/>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FFFFFF"/>
      </w:tcPr>
    </w:tblStylePr>
    <w:tblStylePr w:type="lastCol">
      <w:pPr>
        <w:snapToGrid/>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FFFFFF"/>
      </w:tcPr>
    </w:tblStylePr>
    <w:tblStylePr w:type="band1Vert">
      <w:pPr>
        <w:snapToGrid/>
      </w:p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pPr>
        <w:snapToGrid/>
      </w:pPr>
      <w:rPr>
        <w:rFonts w:ascii="Arial" w:hAnsi="Arial"/>
        <w:color w:val="C9C9C9"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8">
    <w:name w:val="List Table 7 Colorful - Accent 4"/>
    <w:basedOn w:val="31"/>
    <w:qFormat/>
    <w:uiPriority w:val="99"/>
    <w:tblPr>
      <w:tblBorders>
        <w:right w:val="single" w:color="FFD864" w:themeColor="accent4" w:themeTint="9A" w:sz="4" w:space="0"/>
      </w:tblBorders>
      <w:tblCellMar>
        <w:top w:w="0" w:type="dxa"/>
        <w:left w:w="108" w:type="dxa"/>
        <w:bottom w:w="0" w:type="dxa"/>
        <w:right w:w="108" w:type="dxa"/>
      </w:tblCellMar>
    </w:tblPr>
    <w:tblStylePr w:type="firstRow">
      <w:pPr>
        <w:snapToGrid/>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pPr>
        <w:snapToGrid/>
      </w:pPr>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snapToGrid/>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pPr>
        <w:snapToGrid/>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pPr>
        <w:snapToGrid/>
      </w:pPr>
      <w:tcPr>
        <w:shd w:val="clear" w:color="auto" w:fill="FFEFBE" w:themeFill="accent4" w:themeFillTint="40"/>
      </w:tcPr>
    </w:tblStylePr>
    <w:tblStylePr w:type="band2Vert">
      <w:pPr>
        <w:snapToGrid/>
      </w:pPr>
    </w:tblStylePr>
    <w:tblStylePr w:type="band1Horz">
      <w:pPr>
        <w:snapToGrid/>
      </w:pPr>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pPr>
        <w:snapToGrid/>
      </w:pPr>
      <w:rPr>
        <w:rFonts w:ascii="Arial" w:hAnsi="Arial"/>
        <w:color w:val="FFD966"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9">
    <w:name w:val="List Table 7 Colorful - Accent 5"/>
    <w:basedOn w:val="31"/>
    <w:qFormat/>
    <w:uiPriority w:val="99"/>
    <w:tblPr>
      <w:tblBorders>
        <w:right w:val="single" w:color="8EA9DB" w:themeColor="accent5" w:themeTint="9A" w:sz="4" w:space="0"/>
      </w:tblBorders>
      <w:tblCellMar>
        <w:top w:w="0" w:type="dxa"/>
        <w:left w:w="108" w:type="dxa"/>
        <w:bottom w:w="0" w:type="dxa"/>
        <w:right w:w="108" w:type="dxa"/>
      </w:tblCellMar>
    </w:tblPr>
    <w:tblStylePr w:type="firstRow">
      <w:pPr>
        <w:snapToGrid/>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auto" w:fill="FFFFFF" w:themeFill="light1"/>
      </w:tcPr>
    </w:tblStylePr>
    <w:tblStylePr w:type="lastRow">
      <w:pPr>
        <w:snapToGrid/>
      </w:pPr>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auto" w:fill="FFFFFF" w:themeFill="light1"/>
      </w:tcPr>
    </w:tblStylePr>
    <w:tblStylePr w:type="firstCol">
      <w:pPr>
        <w:snapToGrid/>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auto" w:fill="FFFFFF"/>
      </w:tcPr>
    </w:tblStylePr>
    <w:tblStylePr w:type="lastCol">
      <w:pPr>
        <w:snapToGrid/>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auto" w:fill="FFFFFF"/>
      </w:tcPr>
    </w:tblStylePr>
    <w:tblStylePr w:type="band1Vert">
      <w:pPr>
        <w:snapToGrid/>
      </w:pPr>
      <w:tcPr>
        <w:shd w:val="clear" w:color="auto" w:fill="D0DBF0" w:themeFill="accent5" w:themeFillTint="40"/>
      </w:tcPr>
    </w:tblStylePr>
    <w:tblStylePr w:type="band2Vert">
      <w:pPr>
        <w:snapToGrid/>
      </w:pPr>
    </w:tblStylePr>
    <w:tblStylePr w:type="band1Horz">
      <w:pPr>
        <w:snapToGrid/>
      </w:pPr>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pPr>
        <w:snapToGrid/>
      </w:pPr>
      <w:rPr>
        <w:rFonts w:ascii="Arial" w:hAnsi="Arial"/>
        <w:color w:val="8FAADC"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0">
    <w:name w:val="List Table 7 Colorful - Accent 6"/>
    <w:basedOn w:val="31"/>
    <w:qFormat/>
    <w:uiPriority w:val="99"/>
    <w:tblPr>
      <w:tblBorders>
        <w:right w:val="single" w:color="A9D08E" w:themeColor="accent6" w:themeTint="98" w:sz="4" w:space="0"/>
      </w:tblBorders>
      <w:tblCellMar>
        <w:top w:w="0" w:type="dxa"/>
        <w:left w:w="108" w:type="dxa"/>
        <w:bottom w:w="0" w:type="dxa"/>
        <w:right w:w="108" w:type="dxa"/>
      </w:tblCellMar>
    </w:tblPr>
    <w:tblStylePr w:type="firstRow">
      <w:pPr>
        <w:snapToGrid/>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pPr>
        <w:snapToGrid/>
      </w:pPr>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snapToGrid/>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FFFFFF"/>
      </w:tcPr>
    </w:tblStylePr>
    <w:tblStylePr w:type="lastCol">
      <w:pPr>
        <w:snapToGrid/>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FFFFFF"/>
      </w:tcPr>
    </w:tblStylePr>
    <w:tblStylePr w:type="band1Vert">
      <w:pPr>
        <w:snapToGrid/>
      </w:pPr>
      <w:tcPr>
        <w:shd w:val="clear" w:color="auto" w:fill="DAEBCF" w:themeFill="accent6" w:themeFillTint="40"/>
      </w:tcPr>
    </w:tblStylePr>
    <w:tblStylePr w:type="band2Vert">
      <w:pPr>
        <w:snapToGrid/>
      </w:pPr>
    </w:tblStylePr>
    <w:tblStylePr w:type="band1Horz">
      <w:pPr>
        <w:snapToGrid/>
      </w:pPr>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pPr>
        <w:snapToGrid/>
      </w:pPr>
      <w:rPr>
        <w:rFonts w:ascii="Arial" w:hAnsi="Arial"/>
        <w:color w:val="A9D18E"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1">
    <w:name w:val="Lined - Accent"/>
    <w:basedOn w:val="31"/>
    <w:qFormat/>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cPr>
        <w:shd w:val="clear" w:color="auto" w:fill="7E7E7E" w:themeFill="text1" w:themeFillTint="80"/>
      </w:tcPr>
    </w:tblStylePr>
    <w:tblStylePr w:type="lastRow">
      <w:pPr>
        <w:snapToGrid/>
      </w:pPr>
      <w:rPr>
        <w:rFonts w:ascii="Arial" w:hAnsi="Arial"/>
        <w:color w:val="F2F2F2"/>
        <w:sz w:val="22"/>
      </w:rPr>
      <w:tcPr>
        <w:shd w:val="clear" w:color="auto" w:fill="7E7E7E" w:themeFill="text1" w:themeFillTint="80"/>
      </w:tcPr>
    </w:tblStylePr>
    <w:tblStylePr w:type="firstCol">
      <w:pPr>
        <w:snapToGrid/>
      </w:pPr>
      <w:rPr>
        <w:rFonts w:ascii="Arial" w:hAnsi="Arial"/>
        <w:color w:val="F2F2F2"/>
        <w:sz w:val="22"/>
      </w:rPr>
      <w:tcPr>
        <w:shd w:val="clear" w:color="auto" w:fill="7E7E7E" w:themeFill="text1" w:themeFillTint="80"/>
      </w:tcPr>
    </w:tblStylePr>
    <w:tblStylePr w:type="lastCol">
      <w:pPr>
        <w:snapToGrid/>
      </w:pPr>
      <w:rPr>
        <w:rFonts w:ascii="Arial" w:hAnsi="Arial"/>
        <w:color w:val="F2F2F2"/>
        <w:sz w:val="22"/>
      </w:rPr>
      <w:tcPr>
        <w:shd w:val="clear" w:color="auto"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2">
    <w:name w:val="Lined - Accent 1"/>
    <w:basedOn w:val="31"/>
    <w:qFormat/>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cPr>
        <w:shd w:val="clear" w:color="auto" w:fill="68A3D8" w:themeFill="accent1" w:themeFillTint="EA"/>
      </w:tcPr>
    </w:tblStylePr>
    <w:tblStylePr w:type="lastRow">
      <w:pPr>
        <w:snapToGrid/>
      </w:pPr>
      <w:rPr>
        <w:rFonts w:ascii="Arial" w:hAnsi="Arial"/>
        <w:color w:val="F2F2F2"/>
        <w:sz w:val="22"/>
      </w:rPr>
      <w:tcPr>
        <w:shd w:val="clear" w:color="auto" w:fill="68A3D8" w:themeFill="accent1" w:themeFillTint="EA"/>
      </w:tcPr>
    </w:tblStylePr>
    <w:tblStylePr w:type="firstCol">
      <w:pPr>
        <w:snapToGrid/>
      </w:pPr>
      <w:rPr>
        <w:rFonts w:ascii="Arial" w:hAnsi="Arial"/>
        <w:color w:val="F2F2F2"/>
        <w:sz w:val="22"/>
      </w:rPr>
      <w:tcPr>
        <w:shd w:val="clear" w:color="auto" w:fill="68A3D8" w:themeFill="accent1" w:themeFillTint="EA"/>
      </w:tcPr>
    </w:tblStylePr>
    <w:tblStylePr w:type="lastCol">
      <w:pPr>
        <w:snapToGrid/>
      </w:pPr>
      <w:rPr>
        <w:rFonts w:ascii="Arial" w:hAnsi="Arial"/>
        <w:color w:val="F2F2F2"/>
        <w:sz w:val="22"/>
      </w:rPr>
      <w:tcPr>
        <w:shd w:val="clear" w:color="auto" w:fill="68A3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3">
    <w:name w:val="Lined - Accent 2"/>
    <w:basedOn w:val="31"/>
    <w:qFormat/>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cPr>
        <w:shd w:val="clear" w:color="auto" w:fill="F4B285" w:themeFill="accent2" w:themeFillTint="97"/>
      </w:tcPr>
    </w:tblStylePr>
    <w:tblStylePr w:type="lastRow">
      <w:pPr>
        <w:snapToGrid/>
      </w:pPr>
      <w:rPr>
        <w:rFonts w:ascii="Arial" w:hAnsi="Arial"/>
        <w:color w:val="F2F2F2"/>
        <w:sz w:val="22"/>
      </w:rPr>
      <w:tcPr>
        <w:shd w:val="clear" w:color="auto" w:fill="F4B285" w:themeFill="accent2" w:themeFillTint="97"/>
      </w:tcPr>
    </w:tblStylePr>
    <w:tblStylePr w:type="firstCol">
      <w:pPr>
        <w:snapToGrid/>
      </w:pPr>
      <w:rPr>
        <w:rFonts w:ascii="Arial" w:hAnsi="Arial"/>
        <w:color w:val="F2F2F2"/>
        <w:sz w:val="22"/>
      </w:rPr>
      <w:tcPr>
        <w:shd w:val="clear" w:color="auto" w:fill="F4B285" w:themeFill="accent2" w:themeFillTint="97"/>
      </w:tcPr>
    </w:tblStylePr>
    <w:tblStylePr w:type="lastCol">
      <w:pPr>
        <w:snapToGrid/>
      </w:pPr>
      <w:rPr>
        <w:rFonts w:ascii="Arial" w:hAnsi="Arial"/>
        <w:color w:val="F2F2F2"/>
        <w:sz w:val="22"/>
      </w:rPr>
      <w:tcPr>
        <w:shd w:val="clear" w:color="auto" w:fill="F4B28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4">
    <w:name w:val="Lined - Accent 3"/>
    <w:basedOn w:val="31"/>
    <w:qFormat/>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cPr>
        <w:shd w:val="clear" w:color="auto" w:fill="A5A5A5" w:themeFill="accent3" w:themeFillTint="FE"/>
      </w:tcPr>
    </w:tblStylePr>
    <w:tblStylePr w:type="lastRow">
      <w:pPr>
        <w:snapToGrid/>
      </w:pPr>
      <w:rPr>
        <w:rFonts w:ascii="Arial" w:hAnsi="Arial"/>
        <w:color w:val="F2F2F2"/>
        <w:sz w:val="22"/>
      </w:rPr>
      <w:tcPr>
        <w:shd w:val="clear" w:color="auto" w:fill="A5A5A5" w:themeFill="accent3" w:themeFillTint="FE"/>
      </w:tcPr>
    </w:tblStylePr>
    <w:tblStylePr w:type="firstCol">
      <w:pPr>
        <w:snapToGrid/>
      </w:pPr>
      <w:rPr>
        <w:rFonts w:ascii="Arial" w:hAnsi="Arial"/>
        <w:color w:val="F2F2F2"/>
        <w:sz w:val="22"/>
      </w:rPr>
      <w:tcPr>
        <w:shd w:val="clear" w:color="auto" w:fill="A5A5A5" w:themeFill="accent3" w:themeFillTint="FE"/>
      </w:tcPr>
    </w:tblStylePr>
    <w:tblStylePr w:type="lastCol">
      <w:pPr>
        <w:snapToGrid/>
      </w:pPr>
      <w:rPr>
        <w:rFonts w:ascii="Arial" w:hAnsi="Arial"/>
        <w:color w:val="F2F2F2"/>
        <w:sz w:val="22"/>
      </w:r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5">
    <w:name w:val="Lined - Accent 4"/>
    <w:basedOn w:val="31"/>
    <w:qFormat/>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cPr>
        <w:shd w:val="clear" w:color="auto" w:fill="FFD864" w:themeFill="accent4" w:themeFillTint="9A"/>
      </w:tcPr>
    </w:tblStylePr>
    <w:tblStylePr w:type="lastRow">
      <w:pPr>
        <w:snapToGrid/>
      </w:pPr>
      <w:rPr>
        <w:rFonts w:ascii="Arial" w:hAnsi="Arial"/>
        <w:color w:val="F2F2F2"/>
        <w:sz w:val="22"/>
      </w:rPr>
      <w:tcPr>
        <w:shd w:val="clear" w:color="auto" w:fill="FFD864" w:themeFill="accent4" w:themeFillTint="9A"/>
      </w:tcPr>
    </w:tblStylePr>
    <w:tblStylePr w:type="firstCol">
      <w:pPr>
        <w:snapToGrid/>
      </w:pPr>
      <w:rPr>
        <w:rFonts w:ascii="Arial" w:hAnsi="Arial"/>
        <w:color w:val="F2F2F2"/>
        <w:sz w:val="22"/>
      </w:rPr>
      <w:tcPr>
        <w:shd w:val="clear" w:color="auto" w:fill="FFD864" w:themeFill="accent4" w:themeFillTint="9A"/>
      </w:tcPr>
    </w:tblStylePr>
    <w:tblStylePr w:type="lastCol">
      <w:pPr>
        <w:snapToGrid/>
      </w:pPr>
      <w:rPr>
        <w:rFonts w:ascii="Arial" w:hAnsi="Arial"/>
        <w:color w:val="F2F2F2"/>
        <w:sz w:val="22"/>
      </w:rPr>
      <w:tcPr>
        <w:shd w:val="clear" w:color="auto" w:fill="FFD864"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EF2CA"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EF2CA"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6">
    <w:name w:val="Lined - Accent 5"/>
    <w:basedOn w:val="31"/>
    <w:qFormat/>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cPr>
        <w:shd w:val="clear" w:color="auto" w:fill="4472C4" w:themeFill="accent5"/>
      </w:tcPr>
    </w:tblStylePr>
    <w:tblStylePr w:type="lastRow">
      <w:pPr>
        <w:snapToGrid/>
      </w:pPr>
      <w:rPr>
        <w:rFonts w:ascii="Arial" w:hAnsi="Arial"/>
        <w:color w:val="F2F2F2"/>
        <w:sz w:val="22"/>
      </w:rPr>
      <w:tcPr>
        <w:shd w:val="clear" w:color="auto" w:fill="4472C4" w:themeFill="accent5"/>
      </w:tcPr>
    </w:tblStylePr>
    <w:tblStylePr w:type="firstCol">
      <w:pPr>
        <w:snapToGrid/>
      </w:pPr>
      <w:rPr>
        <w:rFonts w:ascii="Arial" w:hAnsi="Arial"/>
        <w:color w:val="F2F2F2"/>
        <w:sz w:val="22"/>
      </w:rPr>
      <w:tcPr>
        <w:shd w:val="clear" w:color="auto" w:fill="4472C4" w:themeFill="accent5"/>
      </w:tcPr>
    </w:tblStylePr>
    <w:tblStylePr w:type="lastCol">
      <w:pPr>
        <w:snapToGrid/>
      </w:pPr>
      <w:rPr>
        <w:rFonts w:ascii="Arial" w:hAnsi="Arial"/>
        <w:color w:val="F2F2F2"/>
        <w:sz w:val="22"/>
      </w:r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D8E2F2"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D8E2F2"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7">
    <w:name w:val="Lined - Accent 6"/>
    <w:basedOn w:val="31"/>
    <w:qFormat/>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cPr>
        <w:shd w:val="clear" w:color="auto" w:fill="70AD47" w:themeFill="accent6"/>
      </w:tcPr>
    </w:tblStylePr>
    <w:tblStylePr w:type="lastRow">
      <w:pPr>
        <w:snapToGrid/>
      </w:pPr>
      <w:rPr>
        <w:rFonts w:ascii="Arial" w:hAnsi="Arial"/>
        <w:color w:val="F2F2F2"/>
        <w:sz w:val="22"/>
      </w:rPr>
      <w:tcPr>
        <w:shd w:val="clear" w:color="auto" w:fill="70AD47" w:themeFill="accent6"/>
      </w:tcPr>
    </w:tblStylePr>
    <w:tblStylePr w:type="firstCol">
      <w:pPr>
        <w:snapToGrid/>
      </w:pPr>
      <w:rPr>
        <w:rFonts w:ascii="Arial" w:hAnsi="Arial"/>
        <w:color w:val="F2F2F2"/>
        <w:sz w:val="22"/>
      </w:rPr>
      <w:tcPr>
        <w:shd w:val="clear" w:color="auto" w:fill="70AD47" w:themeFill="accent6"/>
      </w:tcPr>
    </w:tblStylePr>
    <w:tblStylePr w:type="lastCol">
      <w:pPr>
        <w:snapToGrid/>
      </w:pPr>
      <w:rPr>
        <w:rFonts w:ascii="Arial" w:hAnsi="Arial"/>
        <w:color w:val="F2F2F2"/>
        <w:sz w:val="22"/>
      </w:r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8">
    <w:name w:val="Bordered &amp; Lined - Accent"/>
    <w:basedOn w:val="31"/>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pPr>
        <w:snapToGrid/>
      </w:pPr>
      <w:rPr>
        <w:rFonts w:ascii="Arial" w:hAnsi="Arial"/>
        <w:color w:val="F2F2F2"/>
        <w:sz w:val="22"/>
      </w:rPr>
      <w:tcPr>
        <w:shd w:val="clear" w:color="auto" w:fill="7E7E7E" w:themeFill="text1" w:themeFillTint="80"/>
      </w:tcPr>
    </w:tblStylePr>
    <w:tblStylePr w:type="lastRow">
      <w:pPr>
        <w:snapToGrid/>
      </w:pPr>
      <w:rPr>
        <w:rFonts w:ascii="Arial" w:hAnsi="Arial"/>
        <w:color w:val="F2F2F2"/>
        <w:sz w:val="22"/>
      </w:rPr>
      <w:tcPr>
        <w:shd w:val="clear" w:color="auto" w:fill="7E7E7E" w:themeFill="text1" w:themeFillTint="80"/>
      </w:tcPr>
    </w:tblStylePr>
    <w:tblStylePr w:type="firstCol">
      <w:pPr>
        <w:snapToGrid/>
      </w:pPr>
      <w:rPr>
        <w:rFonts w:ascii="Arial" w:hAnsi="Arial"/>
        <w:color w:val="F2F2F2"/>
        <w:sz w:val="22"/>
      </w:rPr>
      <w:tcPr>
        <w:shd w:val="clear" w:color="auto" w:fill="7E7E7E" w:themeFill="text1" w:themeFillTint="80"/>
      </w:tcPr>
    </w:tblStylePr>
    <w:tblStylePr w:type="lastCol">
      <w:pPr>
        <w:snapToGrid/>
      </w:pPr>
      <w:rPr>
        <w:rFonts w:ascii="Arial" w:hAnsi="Arial"/>
        <w:color w:val="F2F2F2"/>
        <w:sz w:val="22"/>
      </w:rPr>
      <w:tcPr>
        <w:shd w:val="clear" w:color="auto"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9">
    <w:name w:val="Bordered &amp; Lined - Accent 1"/>
    <w:basedOn w:val="31"/>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pPr>
        <w:snapToGrid/>
      </w:pPr>
      <w:rPr>
        <w:rFonts w:ascii="Arial" w:hAnsi="Arial"/>
        <w:color w:val="F2F2F2"/>
        <w:sz w:val="22"/>
      </w:rPr>
      <w:tcPr>
        <w:shd w:val="clear" w:color="auto" w:fill="68A3D8" w:themeFill="accent1" w:themeFillTint="EA"/>
      </w:tcPr>
    </w:tblStylePr>
    <w:tblStylePr w:type="lastRow">
      <w:pPr>
        <w:snapToGrid/>
      </w:pPr>
      <w:rPr>
        <w:rFonts w:ascii="Arial" w:hAnsi="Arial"/>
        <w:color w:val="F2F2F2"/>
        <w:sz w:val="22"/>
      </w:rPr>
      <w:tcPr>
        <w:shd w:val="clear" w:color="auto" w:fill="68A3D8" w:themeFill="accent1" w:themeFillTint="EA"/>
      </w:tcPr>
    </w:tblStylePr>
    <w:tblStylePr w:type="firstCol">
      <w:pPr>
        <w:snapToGrid/>
      </w:pPr>
      <w:rPr>
        <w:rFonts w:ascii="Arial" w:hAnsi="Arial"/>
        <w:color w:val="F2F2F2"/>
        <w:sz w:val="22"/>
      </w:rPr>
      <w:tcPr>
        <w:shd w:val="clear" w:color="auto" w:fill="68A3D8" w:themeFill="accent1" w:themeFillTint="EA"/>
      </w:tcPr>
    </w:tblStylePr>
    <w:tblStylePr w:type="lastCol">
      <w:pPr>
        <w:snapToGrid/>
      </w:pPr>
      <w:rPr>
        <w:rFonts w:ascii="Arial" w:hAnsi="Arial"/>
        <w:color w:val="F2F2F2"/>
        <w:sz w:val="22"/>
      </w:rPr>
      <w:tcPr>
        <w:shd w:val="clear" w:color="auto" w:fill="68A3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0">
    <w:name w:val="Bordered &amp; Lined - Accent 2"/>
    <w:basedOn w:val="31"/>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pPr>
        <w:snapToGrid/>
      </w:pPr>
      <w:rPr>
        <w:rFonts w:ascii="Arial" w:hAnsi="Arial"/>
        <w:color w:val="F2F2F2"/>
        <w:sz w:val="22"/>
      </w:rPr>
      <w:tcPr>
        <w:shd w:val="clear" w:color="auto" w:fill="F4B285" w:themeFill="accent2" w:themeFillTint="97"/>
      </w:tcPr>
    </w:tblStylePr>
    <w:tblStylePr w:type="lastRow">
      <w:pPr>
        <w:snapToGrid/>
      </w:pPr>
      <w:rPr>
        <w:rFonts w:ascii="Arial" w:hAnsi="Arial"/>
        <w:color w:val="F2F2F2"/>
        <w:sz w:val="22"/>
      </w:rPr>
      <w:tcPr>
        <w:shd w:val="clear" w:color="auto" w:fill="F4B285" w:themeFill="accent2" w:themeFillTint="97"/>
      </w:tcPr>
    </w:tblStylePr>
    <w:tblStylePr w:type="firstCol">
      <w:pPr>
        <w:snapToGrid/>
      </w:pPr>
      <w:rPr>
        <w:rFonts w:ascii="Arial" w:hAnsi="Arial"/>
        <w:color w:val="F2F2F2"/>
        <w:sz w:val="22"/>
      </w:rPr>
      <w:tcPr>
        <w:shd w:val="clear" w:color="auto" w:fill="F4B285" w:themeFill="accent2" w:themeFillTint="97"/>
      </w:tcPr>
    </w:tblStylePr>
    <w:tblStylePr w:type="lastCol">
      <w:pPr>
        <w:snapToGrid/>
      </w:pPr>
      <w:rPr>
        <w:rFonts w:ascii="Arial" w:hAnsi="Arial"/>
        <w:color w:val="F2F2F2"/>
        <w:sz w:val="22"/>
      </w:rPr>
      <w:tcPr>
        <w:shd w:val="clear" w:color="auto" w:fill="F4B28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1">
    <w:name w:val="Bordered &amp; Lined - Accent 3"/>
    <w:basedOn w:val="31"/>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pPr>
        <w:snapToGrid/>
      </w:pPr>
      <w:rPr>
        <w:rFonts w:ascii="Arial" w:hAnsi="Arial"/>
        <w:color w:val="F2F2F2"/>
        <w:sz w:val="22"/>
      </w:rPr>
      <w:tcPr>
        <w:shd w:val="clear" w:color="auto" w:fill="A5A5A5" w:themeFill="accent3" w:themeFillTint="FE"/>
      </w:tcPr>
    </w:tblStylePr>
    <w:tblStylePr w:type="lastRow">
      <w:pPr>
        <w:snapToGrid/>
      </w:pPr>
      <w:rPr>
        <w:rFonts w:ascii="Arial" w:hAnsi="Arial"/>
        <w:color w:val="F2F2F2"/>
        <w:sz w:val="22"/>
      </w:rPr>
      <w:tcPr>
        <w:shd w:val="clear" w:color="auto" w:fill="A5A5A5" w:themeFill="accent3" w:themeFillTint="FE"/>
      </w:tcPr>
    </w:tblStylePr>
    <w:tblStylePr w:type="firstCol">
      <w:pPr>
        <w:snapToGrid/>
      </w:pPr>
      <w:rPr>
        <w:rFonts w:ascii="Arial" w:hAnsi="Arial"/>
        <w:color w:val="F2F2F2"/>
        <w:sz w:val="22"/>
      </w:rPr>
      <w:tcPr>
        <w:shd w:val="clear" w:color="auto" w:fill="A5A5A5" w:themeFill="accent3" w:themeFillTint="FE"/>
      </w:tcPr>
    </w:tblStylePr>
    <w:tblStylePr w:type="lastCol">
      <w:pPr>
        <w:snapToGrid/>
      </w:pPr>
      <w:rPr>
        <w:rFonts w:ascii="Arial" w:hAnsi="Arial"/>
        <w:color w:val="F2F2F2"/>
        <w:sz w:val="22"/>
      </w:r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2">
    <w:name w:val="Bordered &amp; Lined - Accent 4"/>
    <w:basedOn w:val="31"/>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pPr>
        <w:snapToGrid/>
      </w:pPr>
      <w:rPr>
        <w:rFonts w:ascii="Arial" w:hAnsi="Arial"/>
        <w:color w:val="F2F2F2"/>
        <w:sz w:val="22"/>
      </w:rPr>
      <w:tcPr>
        <w:shd w:val="clear" w:color="auto" w:fill="FFD864" w:themeFill="accent4" w:themeFillTint="9A"/>
      </w:tcPr>
    </w:tblStylePr>
    <w:tblStylePr w:type="lastRow">
      <w:pPr>
        <w:snapToGrid/>
      </w:pPr>
      <w:rPr>
        <w:rFonts w:ascii="Arial" w:hAnsi="Arial"/>
        <w:color w:val="F2F2F2"/>
        <w:sz w:val="22"/>
      </w:rPr>
      <w:tcPr>
        <w:shd w:val="clear" w:color="auto" w:fill="FFD864" w:themeFill="accent4" w:themeFillTint="9A"/>
      </w:tcPr>
    </w:tblStylePr>
    <w:tblStylePr w:type="firstCol">
      <w:pPr>
        <w:snapToGrid/>
      </w:pPr>
      <w:rPr>
        <w:rFonts w:ascii="Arial" w:hAnsi="Arial"/>
        <w:color w:val="F2F2F2"/>
        <w:sz w:val="22"/>
      </w:rPr>
      <w:tcPr>
        <w:shd w:val="clear" w:color="auto" w:fill="FFD864" w:themeFill="accent4" w:themeFillTint="9A"/>
      </w:tcPr>
    </w:tblStylePr>
    <w:tblStylePr w:type="lastCol">
      <w:pPr>
        <w:snapToGrid/>
      </w:pPr>
      <w:rPr>
        <w:rFonts w:ascii="Arial" w:hAnsi="Arial"/>
        <w:color w:val="F2F2F2"/>
        <w:sz w:val="22"/>
      </w:rPr>
      <w:tcPr>
        <w:shd w:val="clear" w:color="auto" w:fill="FFD864"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EF2CA"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EF2CA"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3">
    <w:name w:val="Bordered &amp; Lined - Accent 5"/>
    <w:basedOn w:val="31"/>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pPr>
        <w:snapToGrid/>
      </w:pPr>
      <w:rPr>
        <w:rFonts w:ascii="Arial" w:hAnsi="Arial"/>
        <w:color w:val="F2F2F2"/>
        <w:sz w:val="22"/>
      </w:rPr>
      <w:tcPr>
        <w:shd w:val="clear" w:color="auto" w:fill="4472C4" w:themeFill="accent5"/>
      </w:tcPr>
    </w:tblStylePr>
    <w:tblStylePr w:type="lastRow">
      <w:pPr>
        <w:snapToGrid/>
      </w:pPr>
      <w:rPr>
        <w:rFonts w:ascii="Arial" w:hAnsi="Arial"/>
        <w:color w:val="F2F2F2"/>
        <w:sz w:val="22"/>
      </w:rPr>
      <w:tcPr>
        <w:shd w:val="clear" w:color="auto" w:fill="4472C4" w:themeFill="accent5"/>
      </w:tcPr>
    </w:tblStylePr>
    <w:tblStylePr w:type="firstCol">
      <w:pPr>
        <w:snapToGrid/>
      </w:pPr>
      <w:rPr>
        <w:rFonts w:ascii="Arial" w:hAnsi="Arial"/>
        <w:color w:val="F2F2F2"/>
        <w:sz w:val="22"/>
      </w:rPr>
      <w:tcPr>
        <w:shd w:val="clear" w:color="auto" w:fill="4472C4" w:themeFill="accent5"/>
      </w:tcPr>
    </w:tblStylePr>
    <w:tblStylePr w:type="lastCol">
      <w:pPr>
        <w:snapToGrid/>
      </w:pPr>
      <w:rPr>
        <w:rFonts w:ascii="Arial" w:hAnsi="Arial"/>
        <w:color w:val="F2F2F2"/>
        <w:sz w:val="22"/>
      </w:r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D8E2F2"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D8E2F2"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4">
    <w:name w:val="Bordered &amp; Lined - Accent 6"/>
    <w:basedOn w:val="31"/>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pPr>
        <w:snapToGrid/>
      </w:pPr>
      <w:rPr>
        <w:rFonts w:ascii="Arial" w:hAnsi="Arial"/>
        <w:color w:val="F2F2F2"/>
        <w:sz w:val="22"/>
      </w:rPr>
      <w:tcPr>
        <w:shd w:val="clear" w:color="auto" w:fill="70AD47" w:themeFill="accent6"/>
      </w:tcPr>
    </w:tblStylePr>
    <w:tblStylePr w:type="lastRow">
      <w:pPr>
        <w:snapToGrid/>
      </w:pPr>
      <w:rPr>
        <w:rFonts w:ascii="Arial" w:hAnsi="Arial"/>
        <w:color w:val="F2F2F2"/>
        <w:sz w:val="22"/>
      </w:rPr>
      <w:tcPr>
        <w:shd w:val="clear" w:color="auto" w:fill="70AD47" w:themeFill="accent6"/>
      </w:tcPr>
    </w:tblStylePr>
    <w:tblStylePr w:type="firstCol">
      <w:pPr>
        <w:snapToGrid/>
      </w:pPr>
      <w:rPr>
        <w:rFonts w:ascii="Arial" w:hAnsi="Arial"/>
        <w:color w:val="F2F2F2"/>
        <w:sz w:val="22"/>
      </w:rPr>
      <w:tcPr>
        <w:shd w:val="clear" w:color="auto" w:fill="70AD47" w:themeFill="accent6"/>
      </w:tcPr>
    </w:tblStylePr>
    <w:tblStylePr w:type="lastCol">
      <w:pPr>
        <w:snapToGrid/>
      </w:pPr>
      <w:rPr>
        <w:rFonts w:ascii="Arial" w:hAnsi="Arial"/>
        <w:color w:val="F2F2F2"/>
        <w:sz w:val="22"/>
      </w:r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5">
    <w:name w:val="Bordered"/>
    <w:basedOn w:val="31"/>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pPr>
        <w:snapToGrid/>
      </w:pPr>
      <w:rPr>
        <w:rFonts w:ascii="Arial" w:hAnsi="Arial"/>
        <w:color w:val="404040"/>
        <w:sz w:val="22"/>
      </w:rPr>
      <w:tcPr>
        <w:tcBorders>
          <w:bottom w:val="single" w:color="7E7E7E" w:themeColor="text1" w:themeTint="80" w:sz="12" w:space="0"/>
        </w:tcBorders>
      </w:tcPr>
    </w:tblStylePr>
    <w:tblStylePr w:type="lastRow">
      <w:pPr>
        <w:snapToGrid/>
      </w:pPr>
      <w:rPr>
        <w:rFonts w:ascii="Arial" w:hAnsi="Arial"/>
        <w:color w:val="404040"/>
        <w:sz w:val="22"/>
      </w:rPr>
      <w:tcPr>
        <w:tcBorders>
          <w:top w:val="single" w:color="7E7E7E" w:themeColor="text1" w:themeTint="80"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7E7E7E" w:themeColor="text1" w:themeTint="80"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6">
    <w:name w:val="Bordered - Accent 1"/>
    <w:basedOn w:val="31"/>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pPr>
        <w:snapToGrid/>
      </w:pPr>
      <w:rPr>
        <w:rFonts w:ascii="Arial" w:hAnsi="Arial"/>
        <w:color w:val="404040"/>
        <w:sz w:val="22"/>
      </w:rPr>
      <w:tcPr>
        <w:tcBorders>
          <w:bottom w:val="single" w:color="5B9BD5" w:themeColor="accent1" w:sz="12" w:space="0"/>
        </w:tcBorders>
      </w:tcPr>
    </w:tblStylePr>
    <w:tblStylePr w:type="lastRow">
      <w:pPr>
        <w:snapToGrid/>
      </w:pPr>
      <w:rPr>
        <w:rFonts w:ascii="Arial" w:hAnsi="Arial"/>
        <w:color w:val="404040"/>
        <w:sz w:val="22"/>
      </w:rPr>
      <w:tcPr>
        <w:tcBorders>
          <w:top w:val="single" w:color="5B9BD5" w:themeColor="accent1"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5B9BD5" w:themeColor="accent1"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7">
    <w:name w:val="Bordered - Accent 2"/>
    <w:basedOn w:val="31"/>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pPr>
        <w:snapToGrid/>
      </w:pPr>
      <w:rPr>
        <w:rFonts w:ascii="Arial" w:hAnsi="Arial"/>
        <w:color w:val="404040"/>
        <w:sz w:val="22"/>
      </w:rPr>
      <w:tcPr>
        <w:tcBorders>
          <w:bottom w:val="single" w:color="F4B285" w:themeColor="accent2" w:themeTint="97" w:sz="12" w:space="0"/>
        </w:tcBorders>
      </w:tcPr>
    </w:tblStylePr>
    <w:tblStylePr w:type="lastRow">
      <w:pPr>
        <w:snapToGrid/>
      </w:pPr>
      <w:rPr>
        <w:rFonts w:ascii="Arial" w:hAnsi="Arial"/>
        <w:color w:val="404040"/>
        <w:sz w:val="22"/>
      </w:rPr>
      <w:tcPr>
        <w:tcBorders>
          <w:top w:val="single" w:color="F4B285" w:themeColor="accent2" w:themeTint="97"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F4B285" w:themeColor="accent2" w:themeTint="97"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8">
    <w:name w:val="Bordered - Accent 3"/>
    <w:basedOn w:val="31"/>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pPr>
        <w:snapToGrid/>
      </w:pPr>
      <w:rPr>
        <w:rFonts w:ascii="Arial" w:hAnsi="Arial"/>
        <w:color w:val="404040"/>
        <w:sz w:val="22"/>
      </w:rPr>
      <w:tcPr>
        <w:tcBorders>
          <w:bottom w:val="single" w:color="C9C9C9" w:themeColor="accent3" w:themeTint="98" w:sz="12" w:space="0"/>
        </w:tcBorders>
      </w:tcPr>
    </w:tblStylePr>
    <w:tblStylePr w:type="lastRow">
      <w:pPr>
        <w:snapToGrid/>
      </w:pPr>
      <w:rPr>
        <w:rFonts w:ascii="Arial" w:hAnsi="Arial"/>
        <w:color w:val="404040"/>
        <w:sz w:val="22"/>
      </w:rPr>
      <w:tcPr>
        <w:tcBorders>
          <w:top w:val="single" w:color="C9C9C9" w:themeColor="accent3"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C9C9C9" w:themeColor="accent3"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9">
    <w:name w:val="Bordered - Accent 4"/>
    <w:basedOn w:val="31"/>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pPr>
        <w:snapToGrid/>
      </w:pPr>
      <w:rPr>
        <w:rFonts w:ascii="Arial" w:hAnsi="Arial"/>
        <w:color w:val="404040"/>
        <w:sz w:val="22"/>
      </w:rPr>
      <w:tcPr>
        <w:tcBorders>
          <w:bottom w:val="single" w:color="FFD864" w:themeColor="accent4" w:themeTint="9A" w:sz="12" w:space="0"/>
        </w:tcBorders>
      </w:tcPr>
    </w:tblStylePr>
    <w:tblStylePr w:type="lastRow">
      <w:pPr>
        <w:snapToGrid/>
      </w:pPr>
      <w:rPr>
        <w:rFonts w:ascii="Arial" w:hAnsi="Arial"/>
        <w:color w:val="404040"/>
        <w:sz w:val="22"/>
      </w:rPr>
      <w:tcPr>
        <w:tcBorders>
          <w:top w:val="single" w:color="FFD864" w:themeColor="accent4"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FFD864" w:themeColor="accent4"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0">
    <w:name w:val="Bordered - Accent 5"/>
    <w:basedOn w:val="31"/>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pPr>
        <w:snapToGrid/>
      </w:pPr>
      <w:rPr>
        <w:rFonts w:ascii="Arial" w:hAnsi="Arial"/>
        <w:color w:val="404040"/>
        <w:sz w:val="22"/>
      </w:rPr>
      <w:tcPr>
        <w:tcBorders>
          <w:bottom w:val="single" w:color="8EA9DB" w:themeColor="accent5" w:themeTint="9A" w:sz="12" w:space="0"/>
        </w:tcBorders>
      </w:tcPr>
    </w:tblStylePr>
    <w:tblStylePr w:type="lastRow">
      <w:pPr>
        <w:snapToGrid/>
      </w:pPr>
      <w:rPr>
        <w:rFonts w:ascii="Arial" w:hAnsi="Arial"/>
        <w:color w:val="404040"/>
        <w:sz w:val="22"/>
      </w:rPr>
      <w:tcPr>
        <w:tcBorders>
          <w:top w:val="single" w:color="8EA9DB" w:themeColor="accent5"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8EA9DB" w:themeColor="accent5"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1">
    <w:name w:val="Bordered - Accent 6"/>
    <w:basedOn w:val="31"/>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pPr>
        <w:snapToGrid/>
      </w:pPr>
      <w:rPr>
        <w:rFonts w:ascii="Arial" w:hAnsi="Arial"/>
        <w:color w:val="404040"/>
        <w:sz w:val="22"/>
      </w:rPr>
      <w:tcPr>
        <w:tcBorders>
          <w:bottom w:val="single" w:color="A9D08E" w:themeColor="accent6" w:themeTint="98" w:sz="12" w:space="0"/>
        </w:tcBorders>
      </w:tcPr>
    </w:tblStylePr>
    <w:tblStylePr w:type="lastRow">
      <w:pPr>
        <w:snapToGrid/>
      </w:pPr>
      <w:rPr>
        <w:rFonts w:ascii="Arial" w:hAnsi="Arial"/>
        <w:color w:val="404040"/>
        <w:sz w:val="22"/>
      </w:rPr>
      <w:tcPr>
        <w:tcBorders>
          <w:top w:val="single" w:color="A9D08E" w:themeColor="accent6"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A9D08E" w:themeColor="accent6"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82">
    <w:name w:val="脚注文本 Char"/>
    <w:link w:val="24"/>
    <w:qFormat/>
    <w:uiPriority w:val="99"/>
    <w:rPr>
      <w:sz w:val="18"/>
    </w:rPr>
  </w:style>
  <w:style w:type="paragraph" w:customStyle="1" w:styleId="183">
    <w:name w:val="TOC 标题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character" w:customStyle="1" w:styleId="184">
    <w:name w:val="批注框文本 Char"/>
    <w:basedOn w:val="33"/>
    <w:link w:val="2"/>
    <w:qFormat/>
    <w:uiPriority w:val="0"/>
    <w:rPr>
      <w:rFonts w:ascii="Calibri" w:hAnsi="Calibri" w:eastAsia="宋体" w:cs="Calibri"/>
      <w:sz w:val="18"/>
      <w:szCs w:val="18"/>
    </w:rPr>
  </w:style>
  <w:style w:type="paragraph" w:customStyle="1" w:styleId="185">
    <w:name w:val="修订1"/>
    <w:hidden/>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Calibri" w:hAnsi="Calibri" w:eastAsia="宋体" w:cs="Calibri"/>
      <w:sz w:val="21"/>
      <w:szCs w:val="24"/>
      <w:lang w:val="en-US" w:eastAsia="zh-CN" w:bidi="ar-SA"/>
    </w:rPr>
  </w:style>
  <w:style w:type="character" w:customStyle="1" w:styleId="186">
    <w:name w:val="批注文字 Char"/>
    <w:basedOn w:val="33"/>
    <w:link w:val="14"/>
    <w:qFormat/>
    <w:uiPriority w:val="0"/>
    <w:rPr>
      <w:rFonts w:ascii="Calibri" w:hAnsi="Calibri" w:eastAsia="宋体" w:cs="Calibri"/>
      <w:sz w:val="21"/>
      <w:szCs w:val="24"/>
    </w:rPr>
  </w:style>
  <w:style w:type="character" w:customStyle="1" w:styleId="187">
    <w:name w:val="批注主题 Char"/>
    <w:basedOn w:val="186"/>
    <w:link w:val="30"/>
    <w:qFormat/>
    <w:uiPriority w:val="0"/>
    <w:rPr>
      <w:rFonts w:ascii="Calibri" w:hAnsi="Calibri" w:eastAsia="宋体" w:cs="Calibri"/>
      <w:sz w:val="21"/>
      <w:szCs w:val="24"/>
    </w:rPr>
  </w:style>
  <w:style w:type="character" w:customStyle="1" w:styleId="188">
    <w:name w:val="标题 Char"/>
    <w:basedOn w:val="33"/>
    <w:link w:val="29"/>
    <w:qFormat/>
    <w:uiPriority w:val="0"/>
    <w:rPr>
      <w:rFonts w:ascii="Calibri Light" w:hAnsi="Calibri Light" w:cs="Calibri Light"/>
      <w:b/>
      <w:bCs/>
      <w:sz w:val="32"/>
      <w:szCs w:val="32"/>
    </w:rPr>
  </w:style>
  <w:style w:type="paragraph" w:customStyle="1" w:styleId="189">
    <w:name w:val="列出段落1"/>
    <w:basedOn w:val="1"/>
    <w:unhideWhenUsed/>
    <w:qFormat/>
    <w:uiPriority w:val="99"/>
    <w:pPr>
      <w:ind w:firstLine="420"/>
    </w:pPr>
  </w:style>
  <w:style w:type="character" w:customStyle="1" w:styleId="190">
    <w:name w:val="标题 4 Char"/>
    <w:basedOn w:val="33"/>
    <w:link w:val="7"/>
    <w:qFormat/>
    <w:uiPriority w:val="0"/>
    <w:rPr>
      <w:rFonts w:ascii="Calibri Light" w:hAnsi="Calibri Light" w:eastAsia="宋体" w:cs="Calibri Light"/>
      <w:bCs/>
      <w:sz w:val="24"/>
      <w:szCs w:val="28"/>
    </w:rPr>
  </w:style>
  <w:style w:type="paragraph" w:customStyle="1" w:styleId="191">
    <w:name w:val="正文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Arial Unicode MS" w:eastAsia="Times New Roman" w:cs="Arial Unicode MS"/>
      <w:color w:val="000000"/>
      <w:sz w:val="21"/>
      <w:szCs w:val="21"/>
      <w:lang w:val="en-US" w:eastAsia="zh-CN" w:bidi="ar-SA"/>
    </w:rPr>
  </w:style>
  <w:style w:type="paragraph" w:customStyle="1" w:styleId="192">
    <w:name w:val="纯文本1"/>
    <w:basedOn w:val="1"/>
    <w:qFormat/>
    <w:uiPriority w:val="0"/>
    <w:pPr>
      <w:spacing w:line="312" w:lineRule="atLeast"/>
    </w:pPr>
    <w:rPr>
      <w:rFonts w:ascii="宋体" w:hAnsi="Courier New"/>
      <w:sz w:val="24"/>
      <w:szCs w:val="20"/>
    </w:rPr>
  </w:style>
  <w:style w:type="paragraph" w:customStyle="1" w:styleId="193">
    <w:name w:val="纯文本2"/>
    <w:basedOn w:val="1"/>
    <w:qFormat/>
    <w:uiPriority w:val="0"/>
    <w:rPr>
      <w:rFonts w:ascii="宋体" w:hAnsi="Courier New"/>
      <w:szCs w:val="20"/>
    </w:rPr>
  </w:style>
  <w:style w:type="character" w:customStyle="1" w:styleId="194">
    <w:name w:val="页眉 Char"/>
    <w:basedOn w:val="33"/>
    <w:link w:val="20"/>
    <w:qFormat/>
    <w:uiPriority w:val="99"/>
    <w:rPr>
      <w:rFonts w:ascii="Calibri" w:hAnsi="Calibri" w:eastAsia="宋体" w:cs="Calibri"/>
      <w:sz w:val="18"/>
      <w:szCs w:val="24"/>
    </w:rPr>
  </w:style>
  <w:style w:type="character" w:customStyle="1" w:styleId="195">
    <w:name w:val="icolink"/>
    <w:basedOn w:val="33"/>
    <w:qFormat/>
    <w:uiPriority w:val="0"/>
  </w:style>
  <w:style w:type="character" w:customStyle="1" w:styleId="196">
    <w:name w:val="icolink1"/>
    <w:basedOn w:val="33"/>
    <w:qFormat/>
    <w:uiPriority w:val="0"/>
  </w:style>
  <w:style w:type="character" w:customStyle="1" w:styleId="197">
    <w:name w:val="hover16"/>
    <w:basedOn w:val="33"/>
    <w:qFormat/>
    <w:uiPriority w:val="0"/>
    <w:rPr>
      <w:shd w:val="clear" w:color="auto" w:fill="D0D0D0"/>
    </w:rPr>
  </w:style>
  <w:style w:type="character" w:customStyle="1" w:styleId="198">
    <w:name w:val="hover17"/>
    <w:basedOn w:val="33"/>
    <w:qFormat/>
    <w:uiPriority w:val="0"/>
    <w:rPr>
      <w:shd w:val="clear" w:color="auto" w:fill="EFEFEF"/>
    </w:rPr>
  </w:style>
  <w:style w:type="character" w:customStyle="1" w:styleId="199">
    <w:name w:val="active8"/>
    <w:basedOn w:val="33"/>
    <w:qFormat/>
    <w:uiPriority w:val="0"/>
    <w:rPr>
      <w:b/>
    </w:rPr>
  </w:style>
  <w:style w:type="character" w:customStyle="1" w:styleId="200">
    <w:name w:val="mailnum"/>
    <w:basedOn w:val="33"/>
    <w:qFormat/>
    <w:uiPriority w:val="0"/>
    <w:rPr>
      <w:b/>
    </w:rPr>
  </w:style>
  <w:style w:type="character" w:customStyle="1" w:styleId="201">
    <w:name w:val="nav_pop_folder"/>
    <w:basedOn w:val="33"/>
    <w:qFormat/>
    <w:uiPriority w:val="0"/>
  </w:style>
  <w:style w:type="character" w:customStyle="1" w:styleId="202">
    <w:name w:val="btnspan"/>
    <w:basedOn w:val="33"/>
    <w:qFormat/>
    <w:uiPriority w:val="0"/>
  </w:style>
  <w:style w:type="character" w:customStyle="1" w:styleId="203">
    <w:name w:val="viewflagged"/>
    <w:basedOn w:val="33"/>
    <w:qFormat/>
    <w:uiPriority w:val="0"/>
    <w:rPr>
      <w:color w:val="1B1B1B"/>
    </w:rPr>
  </w:style>
  <w:style w:type="character" w:customStyle="1" w:styleId="204">
    <w:name w:val="normalspan"/>
    <w:basedOn w:val="33"/>
    <w:qFormat/>
    <w:uiPriority w:val="0"/>
    <w:rPr>
      <w:color w:val="auto"/>
    </w:rPr>
  </w:style>
  <w:style w:type="character" w:customStyle="1" w:styleId="205">
    <w:name w:val="odcr2"/>
    <w:basedOn w:val="33"/>
    <w:qFormat/>
    <w:uiPriority w:val="0"/>
    <w:rPr>
      <w:color w:val="777777"/>
    </w:rPr>
  </w:style>
  <w:style w:type="character" w:customStyle="1" w:styleId="206">
    <w:name w:val="operand"/>
    <w:basedOn w:val="33"/>
    <w:qFormat/>
    <w:uiPriority w:val="0"/>
    <w:rPr>
      <w:b/>
      <w:color w:val="16960E"/>
    </w:rPr>
  </w:style>
  <w:style w:type="character" w:customStyle="1" w:styleId="207">
    <w:name w:val="enabledtext"/>
    <w:basedOn w:val="33"/>
    <w:qFormat/>
    <w:uiPriority w:val="0"/>
    <w:rPr>
      <w:color w:val="000000"/>
    </w:rPr>
  </w:style>
  <w:style w:type="character" w:customStyle="1" w:styleId="208">
    <w:name w:val="hidden"/>
    <w:basedOn w:val="33"/>
    <w:qFormat/>
    <w:uiPriority w:val="0"/>
    <w:rPr>
      <w:vanish/>
    </w:rPr>
  </w:style>
  <w:style w:type="character" w:customStyle="1" w:styleId="209">
    <w:name w:val="hover14"/>
    <w:basedOn w:val="33"/>
    <w:qFormat/>
    <w:uiPriority w:val="0"/>
    <w:rPr>
      <w:shd w:val="clear" w:color="auto" w:fill="D0D0D0"/>
    </w:rPr>
  </w:style>
  <w:style w:type="character" w:customStyle="1" w:styleId="210">
    <w:name w:val="hover15"/>
    <w:basedOn w:val="33"/>
    <w:qFormat/>
    <w:uiPriority w:val="0"/>
    <w:rPr>
      <w:shd w:val="clear" w:color="auto" w:fill="EFEFEF"/>
    </w:rPr>
  </w:style>
  <w:style w:type="paragraph" w:customStyle="1" w:styleId="211">
    <w:name w:val="列出段落2"/>
    <w:basedOn w:val="1"/>
    <w:unhideWhenUsed/>
    <w:qFormat/>
    <w:uiPriority w:val="99"/>
    <w:pPr>
      <w:ind w:firstLine="420"/>
    </w:pPr>
  </w:style>
  <w:style w:type="paragraph" w:customStyle="1" w:styleId="212">
    <w:name w:val="修订2"/>
    <w:hidden/>
    <w:semiHidden/>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Calibri" w:hAnsi="Calibri" w:eastAsia="宋体" w:cs="Calibri"/>
      <w:sz w:val="21"/>
      <w:szCs w:val="24"/>
      <w:lang w:val="en-US" w:eastAsia="zh-CN" w:bidi="ar-SA"/>
    </w:rPr>
  </w:style>
  <w:style w:type="paragraph" w:customStyle="1" w:styleId="213">
    <w:name w:val="修订3"/>
    <w:hidden/>
    <w:semiHidden/>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Calibri" w:hAnsi="Calibri" w:eastAsia="宋体" w:cs="Calibri"/>
      <w:sz w:val="21"/>
      <w:szCs w:val="24"/>
      <w:lang w:val="en-US" w:eastAsia="zh-CN" w:bidi="ar-SA"/>
    </w:rPr>
  </w:style>
  <w:style w:type="paragraph" w:customStyle="1" w:styleId="214">
    <w:name w:val="修订4"/>
    <w:hidden/>
    <w:unhideWhenUsed/>
    <w:qFormat/>
    <w:uiPriority w:val="99"/>
    <w:rPr>
      <w:rFonts w:ascii="Calibri" w:hAnsi="Calibri" w:eastAsia="宋体" w:cs="Calibri"/>
      <w:sz w:val="21"/>
      <w:szCs w:val="24"/>
      <w:lang w:val="en-US" w:eastAsia="zh-CN" w:bidi="ar-SA"/>
    </w:rPr>
  </w:style>
  <w:style w:type="character" w:customStyle="1" w:styleId="215">
    <w:name w:val="正文文本缩进 2 Char"/>
    <w:basedOn w:val="33"/>
    <w:link w:val="18"/>
    <w:qFormat/>
    <w:uiPriority w:val="0"/>
    <w:rPr>
      <w:rFonts w:ascii="宋体"/>
      <w:kern w:val="2"/>
      <w:sz w:val="24"/>
    </w:rPr>
  </w:style>
  <w:style w:type="paragraph" w:customStyle="1" w:styleId="216">
    <w:name w:val="修订5"/>
    <w:hidden/>
    <w:semiHidden/>
    <w:qFormat/>
    <w:uiPriority w:val="99"/>
    <w:rPr>
      <w:rFonts w:ascii="Calibri" w:hAnsi="Calibri" w:eastAsia="宋体" w:cs="Calibri"/>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宋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3953</Words>
  <Characters>22536</Characters>
  <Lines>187</Lines>
  <Paragraphs>52</Paragraphs>
  <TotalTime>35</TotalTime>
  <ScaleCrop>false</ScaleCrop>
  <LinksUpToDate>false</LinksUpToDate>
  <CharactersWithSpaces>26437</CharactersWithSpaces>
  <Application>WPS Office_11.8.2.10329_F1E327BC-269C-435d-A152-05C5408002CA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2023-10-27T10:28:00Z</dcterms:created>
  <dc:creator>施晓明</dc:creator>
  <cp:lastModifiedBy>jiangxiaoru</cp:lastModifiedBy>
  <dcterms:modified xsi:type="dcterms:W3CDTF">2024-07-01T03:32:19Z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2052-11.8.2.10329</vt:lpwstr>
  </property>
  <property fmtid="{D5CDD505-2E9C-101B-9397-08002B2CF9AE}" pid="3" name="ICV">
    <vt:lpwstr>C948C2606CFE4BB7BC1B3F5C5E3CBA13</vt:lpwstr>
  </property>
  <property fmtid="{D5CDD505-2E9C-101B-9397-08002B2CF9AE}" pid="4" name="_KSOProductBuildMID">
    <vt:lpwstr>CPWF06GP79TQ05HGRKR8YL0S7ZC0OSYRES06WJDBXGH8TFWTZ0BRICJTFSVHPDRRXNMX5OLSZI7D8LXJQFFADF8C89D0WHWBBJOO0HB34ECDA47BF96F758BC703FA1CB16D5027</vt:lpwstr>
  </property>
  <property fmtid="{D5CDD505-2E9C-101B-9397-08002B2CF9AE}" pid="5" name="_KSOProductBuildSID">
    <vt:lpwstr>CYWM06BV7RSA00HGRKR80L0C7N8MOAPREX06NJDTXFGRTQ5T6DBRQCJFFS6TPC8RAUMXHOLKZI7D8IJJRUFTVFFW89Q0WMLB8SODDHB356037A47805716665E6DC81FC0B0774D</vt:lpwstr>
  </property>
</Properties>
</file>