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60"/>
        </w:tabs>
        <w:spacing w:line="360" w:lineRule="auto"/>
        <w:jc w:val="center"/>
        <w:rPr>
          <w:rFonts w:ascii="宋体" w:hAnsi="宋体"/>
          <w:b/>
          <w:sz w:val="44"/>
        </w:rPr>
      </w:pPr>
    </w:p>
    <w:p>
      <w:pPr>
        <w:spacing w:line="360" w:lineRule="auto"/>
        <w:jc w:val="center"/>
        <w:rPr>
          <w:rFonts w:ascii="宋体" w:hAnsi="宋体"/>
          <w:b/>
          <w:sz w:val="24"/>
        </w:rPr>
      </w:pPr>
    </w:p>
    <w:p>
      <w:pPr>
        <w:widowControl/>
        <w:snapToGrid w:val="0"/>
        <w:spacing w:line="360" w:lineRule="auto"/>
        <w:ind w:firstLine="480" w:firstLineChars="200"/>
        <w:rPr>
          <w:rFonts w:ascii="宋体" w:hAnsi="宋体" w:cs="Arial"/>
          <w:sz w:val="24"/>
        </w:rPr>
      </w:pPr>
    </w:p>
    <w:p>
      <w:pPr>
        <w:widowControl/>
        <w:snapToGrid w:val="0"/>
        <w:spacing w:line="360" w:lineRule="auto"/>
        <w:ind w:firstLine="480" w:firstLineChars="200"/>
        <w:rPr>
          <w:rFonts w:ascii="宋体" w:hAnsi="宋体" w:cs="Arial"/>
          <w:sz w:val="24"/>
        </w:rPr>
      </w:pPr>
    </w:p>
    <w:p>
      <w:pPr>
        <w:widowControl/>
        <w:snapToGrid w:val="0"/>
        <w:spacing w:line="360" w:lineRule="auto"/>
        <w:ind w:firstLine="480" w:firstLineChars="200"/>
        <w:rPr>
          <w:rFonts w:ascii="宋体" w:hAnsi="宋体" w:cs="Arial"/>
          <w:sz w:val="24"/>
        </w:rPr>
      </w:pPr>
    </w:p>
    <w:p>
      <w:pPr>
        <w:widowControl/>
        <w:snapToGrid w:val="0"/>
        <w:spacing w:line="360" w:lineRule="auto"/>
        <w:ind w:firstLine="480" w:firstLineChars="200"/>
        <w:rPr>
          <w:rFonts w:ascii="宋体" w:hAnsi="宋体" w:cs="Arial"/>
          <w:sz w:val="24"/>
        </w:rPr>
      </w:pPr>
    </w:p>
    <w:p>
      <w:pPr>
        <w:snapToGrid w:val="0"/>
        <w:spacing w:line="360" w:lineRule="auto"/>
        <w:jc w:val="center"/>
        <w:rPr>
          <w:rFonts w:ascii="宋体" w:hAnsi="宋体"/>
          <w:b/>
          <w:sz w:val="48"/>
          <w:szCs w:val="20"/>
          <w:lang w:eastAsia="zh-CN"/>
        </w:rPr>
      </w:pPr>
      <w:r>
        <w:rPr>
          <w:rFonts w:hint="eastAsia" w:ascii="宋体" w:hAnsi="宋体"/>
          <w:b/>
          <w:color w:val="000000"/>
          <w:sz w:val="44"/>
          <w:szCs w:val="44"/>
          <w:lang w:eastAsia="zh-CN"/>
        </w:rPr>
        <w:t>易方达中证电池主题交易型开放式指数证券投资基金</w:t>
      </w:r>
      <w:bookmarkStart w:id="0" w:name="_Toc10604959"/>
      <w:bookmarkStart w:id="1" w:name="_Toc270669851"/>
      <w:bookmarkStart w:id="2" w:name="_Toc225938616"/>
      <w:bookmarkStart w:id="3" w:name="_Toc10554386"/>
      <w:bookmarkStart w:id="4" w:name="_Toc15987771"/>
      <w:r>
        <w:rPr>
          <w:rFonts w:ascii="宋体" w:hAnsi="宋体"/>
          <w:b/>
          <w:sz w:val="48"/>
          <w:szCs w:val="20"/>
          <w:highlight w:val="white"/>
          <w:lang w:eastAsia="zh-CN"/>
        </w:rPr>
        <w:t>托管协议</w:t>
      </w:r>
      <w:bookmarkEnd w:id="0"/>
      <w:bookmarkEnd w:id="1"/>
      <w:bookmarkEnd w:id="2"/>
      <w:bookmarkEnd w:id="3"/>
      <w:bookmarkEnd w:id="4"/>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jc w:val="center"/>
        <w:rPr>
          <w:rFonts w:ascii="宋体" w:hAnsi="宋体" w:cs="Arial"/>
          <w:sz w:val="24"/>
          <w:lang w:eastAsia="zh-CN"/>
        </w:rPr>
      </w:pPr>
    </w:p>
    <w:p>
      <w:pPr>
        <w:spacing w:line="360" w:lineRule="auto"/>
        <w:ind w:firstLine="723"/>
        <w:jc w:val="center"/>
        <w:rPr>
          <w:rFonts w:ascii="宋体" w:hAnsi="宋体"/>
          <w:b/>
          <w:sz w:val="36"/>
          <w:szCs w:val="20"/>
          <w:lang w:eastAsia="zh-CN"/>
        </w:rPr>
      </w:pPr>
      <w:r>
        <w:rPr>
          <w:rFonts w:hint="eastAsia" w:ascii="宋体" w:hAnsi="宋体"/>
          <w:b/>
          <w:sz w:val="36"/>
          <w:szCs w:val="20"/>
          <w:highlight w:val="white"/>
          <w:lang w:eastAsia="zh-CN"/>
        </w:rPr>
        <w:t>基金管理人：易方达基金管理有限公司</w:t>
      </w:r>
    </w:p>
    <w:p>
      <w:pPr>
        <w:spacing w:line="360" w:lineRule="auto"/>
        <w:ind w:firstLine="723"/>
        <w:jc w:val="center"/>
        <w:rPr>
          <w:rFonts w:ascii="宋体" w:hAnsi="宋体"/>
          <w:b/>
          <w:sz w:val="36"/>
          <w:szCs w:val="20"/>
          <w:lang w:eastAsia="zh-CN"/>
        </w:rPr>
      </w:pPr>
      <w:r>
        <w:rPr>
          <w:rFonts w:hint="eastAsia" w:ascii="宋体" w:hAnsi="宋体"/>
          <w:b/>
          <w:sz w:val="36"/>
          <w:szCs w:val="20"/>
          <w:highlight w:val="white"/>
          <w:lang w:eastAsia="zh-CN"/>
        </w:rPr>
        <w:t>基金托管人：中国民生银行股份有限公司</w:t>
      </w: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widowControl/>
        <w:snapToGrid w:val="0"/>
        <w:spacing w:line="360" w:lineRule="auto"/>
        <w:ind w:firstLine="480" w:firstLineChars="200"/>
        <w:rPr>
          <w:rFonts w:ascii="宋体" w:hAnsi="宋体" w:cs="Arial"/>
          <w:sz w:val="24"/>
          <w:lang w:eastAsia="zh-CN"/>
        </w:rPr>
      </w:pPr>
    </w:p>
    <w:p>
      <w:pPr>
        <w:jc w:val="center"/>
        <w:rPr>
          <w:rFonts w:ascii="宋体" w:hAnsi="宋体"/>
        </w:rPr>
      </w:pPr>
      <w:r>
        <w:rPr>
          <w:rFonts w:ascii="宋体" w:hAnsi="宋体" w:cs="宋体"/>
          <w:color w:val="000000"/>
          <w:sz w:val="28"/>
          <w:highlight w:val="white"/>
        </w:rPr>
        <w:t>二零二</w:t>
      </w:r>
      <w:r>
        <w:rPr>
          <w:rFonts w:hint="eastAsia" w:ascii="宋体" w:hAnsi="宋体"/>
          <w:color w:val="000000"/>
          <w:sz w:val="28"/>
          <w:highlight w:val="white"/>
          <w:lang w:eastAsia="zh-CN"/>
        </w:rPr>
        <w:t>六</w:t>
      </w:r>
      <w:r>
        <w:rPr>
          <w:rFonts w:ascii="宋体" w:hAnsi="宋体" w:cs="宋体"/>
          <w:color w:val="000000"/>
          <w:sz w:val="28"/>
          <w:highlight w:val="white"/>
        </w:rPr>
        <w:t>年</w:t>
      </w:r>
      <w:r>
        <w:rPr>
          <w:rFonts w:hint="eastAsia" w:ascii="宋体" w:hAnsi="宋体"/>
          <w:color w:val="000000"/>
          <w:sz w:val="28"/>
          <w:highlight w:val="white"/>
          <w:lang w:eastAsia="zh-CN"/>
        </w:rPr>
        <w:t>一</w:t>
      </w:r>
      <w:r>
        <w:rPr>
          <w:rFonts w:ascii="宋体" w:hAnsi="宋体" w:cs="宋体"/>
          <w:color w:val="000000"/>
          <w:sz w:val="28"/>
          <w:highlight w:val="white"/>
        </w:rPr>
        <w:t>月</w:t>
      </w:r>
    </w:p>
    <w:p>
      <w:pPr>
        <w:widowControl/>
        <w:snapToGrid w:val="0"/>
        <w:spacing w:line="360" w:lineRule="auto"/>
        <w:ind w:firstLine="480" w:firstLineChars="200"/>
        <w:jc w:val="left"/>
        <w:rPr>
          <w:rFonts w:ascii="宋体" w:hAnsi="宋体" w:cs="Arial"/>
          <w:sz w:val="24"/>
        </w:rPr>
      </w:pPr>
    </w:p>
    <w:p>
      <w:pPr>
        <w:widowControl/>
        <w:snapToGrid w:val="0"/>
        <w:spacing w:line="360" w:lineRule="auto"/>
        <w:ind w:firstLine="480" w:firstLineChars="200"/>
        <w:jc w:val="left"/>
        <w:rPr>
          <w:rFonts w:ascii="宋体" w:hAnsi="宋体" w:cs="Arial"/>
          <w:sz w:val="24"/>
        </w:rPr>
      </w:pPr>
    </w:p>
    <w:p>
      <w:pPr>
        <w:widowControl/>
        <w:snapToGrid w:val="0"/>
        <w:spacing w:line="360" w:lineRule="auto"/>
        <w:ind w:firstLine="480" w:firstLineChars="200"/>
        <w:jc w:val="left"/>
        <w:rPr>
          <w:rFonts w:ascii="宋体" w:hAnsi="宋体" w:cs="Arial"/>
          <w:sz w:val="24"/>
        </w:rPr>
      </w:pPr>
    </w:p>
    <w:p>
      <w:pPr>
        <w:spacing w:line="360" w:lineRule="auto"/>
        <w:ind w:firstLine="480"/>
        <w:jc w:val="center"/>
        <w:rPr>
          <w:rFonts w:ascii="宋体" w:hAnsi="宋体"/>
          <w:b/>
          <w:sz w:val="28"/>
          <w:szCs w:val="20"/>
        </w:rPr>
      </w:pPr>
      <w:r>
        <w:rPr>
          <w:rFonts w:ascii="宋体" w:hAnsi="宋体" w:cs="Arial"/>
          <w:sz w:val="24"/>
          <w:highlight w:val="white"/>
        </w:rPr>
        <w:br w:type="page"/>
      </w:r>
      <w:bookmarkStart w:id="5" w:name="_Toc295410859"/>
      <w:r>
        <w:rPr>
          <w:rFonts w:ascii="宋体" w:hAnsi="宋体"/>
          <w:b/>
          <w:sz w:val="28"/>
          <w:szCs w:val="20"/>
          <w:highlight w:val="white"/>
        </w:rPr>
        <w:t>目</w:t>
      </w:r>
      <w:r>
        <w:rPr>
          <w:rFonts w:hint="eastAsia" w:ascii="宋体" w:hAnsi="宋体"/>
          <w:b/>
          <w:sz w:val="28"/>
          <w:szCs w:val="20"/>
          <w:highlight w:val="white"/>
        </w:rPr>
        <w:t xml:space="preserve">  </w:t>
      </w:r>
      <w:r>
        <w:rPr>
          <w:rFonts w:ascii="宋体" w:hAnsi="宋体"/>
          <w:b/>
          <w:sz w:val="28"/>
          <w:szCs w:val="20"/>
          <w:highlight w:val="white"/>
        </w:rPr>
        <w:t>录</w:t>
      </w:r>
      <w:bookmarkEnd w:id="5"/>
    </w:p>
    <w:p>
      <w:pPr>
        <w:pStyle w:val="23"/>
        <w:rPr>
          <w:rFonts w:ascii="宋体" w:hAnsi="宋体"/>
          <w:szCs w:val="22"/>
        </w:rPr>
      </w:pPr>
      <w:r>
        <w:rPr>
          <w:rFonts w:ascii="宋体" w:hAnsi="宋体"/>
          <w:b/>
          <w:sz w:val="24"/>
        </w:rPr>
        <w:fldChar w:fldCharType="begin"/>
      </w:r>
      <w:r>
        <w:rPr>
          <w:rFonts w:ascii="宋体" w:hAnsi="宋体"/>
          <w:b/>
          <w:sz w:val="24"/>
          <w:highlight w:val="white"/>
        </w:rPr>
        <w:instrText xml:space="preserve"> TOC \o "1-3" \h \z \u </w:instrText>
      </w:r>
      <w:r>
        <w:rPr>
          <w:rFonts w:ascii="宋体" w:hAnsi="宋体"/>
          <w:b/>
          <w:sz w:val="24"/>
        </w:rPr>
        <w:fldChar w:fldCharType="separate"/>
      </w:r>
      <w:r>
        <w:fldChar w:fldCharType="begin"/>
      </w:r>
      <w:r>
        <w:instrText xml:space="preserve"> HYPERLINK \l "_Toc450839467" \o "Current Document" </w:instrText>
      </w:r>
      <w:r>
        <w:fldChar w:fldCharType="separate"/>
      </w:r>
      <w:r>
        <w:rPr>
          <w:rStyle w:val="37"/>
          <w:rFonts w:hint="eastAsia" w:ascii="宋体" w:hAnsi="宋体"/>
          <w:color w:val="auto"/>
          <w:highlight w:val="white"/>
        </w:rPr>
        <w:t>一、</w:t>
      </w:r>
      <w:r>
        <w:rPr>
          <w:rFonts w:ascii="宋体" w:hAnsi="宋体" w:cs="宋体"/>
          <w:szCs w:val="22"/>
          <w:highlight w:val="white"/>
        </w:rPr>
        <w:tab/>
      </w:r>
      <w:r>
        <w:rPr>
          <w:rStyle w:val="37"/>
          <w:rFonts w:hint="eastAsia" w:ascii="宋体" w:hAnsi="宋体"/>
          <w:color w:val="auto"/>
          <w:highlight w:val="white"/>
        </w:rPr>
        <w:t>基金托管协议当事人</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_Toc450839467 \h </w:instrText>
      </w:r>
      <w:r>
        <w:rPr>
          <w:rFonts w:ascii="宋体" w:hAnsi="宋体"/>
        </w:rPr>
        <w:fldChar w:fldCharType="separate"/>
      </w:r>
      <w:r>
        <w:rPr>
          <w:rFonts w:ascii="宋体" w:hAnsi="宋体" w:cs="宋体"/>
          <w:highlight w:val="white"/>
        </w:rPr>
        <w:t>1</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"_Toc450839468" \o "Current Document" </w:instrText>
      </w:r>
      <w:r>
        <w:fldChar w:fldCharType="separate"/>
      </w:r>
      <w:r>
        <w:rPr>
          <w:rStyle w:val="37"/>
          <w:rFonts w:hint="eastAsia" w:ascii="宋体" w:hAnsi="宋体"/>
          <w:color w:val="auto"/>
          <w:highlight w:val="white"/>
        </w:rPr>
        <w:t>二、</w:t>
      </w:r>
      <w:r>
        <w:rPr>
          <w:rFonts w:ascii="宋体" w:hAnsi="宋体" w:cs="宋体"/>
          <w:szCs w:val="22"/>
          <w:highlight w:val="white"/>
        </w:rPr>
        <w:tab/>
      </w:r>
      <w:r>
        <w:rPr>
          <w:rStyle w:val="37"/>
          <w:rFonts w:hint="eastAsia" w:ascii="宋体" w:hAnsi="宋体"/>
          <w:color w:val="auto"/>
          <w:highlight w:val="white"/>
        </w:rPr>
        <w:t>基金托管协议的依据、目的和原则</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_Toc450839468 \h </w:instrText>
      </w:r>
      <w:r>
        <w:rPr>
          <w:rFonts w:ascii="宋体" w:hAnsi="宋体"/>
        </w:rPr>
        <w:fldChar w:fldCharType="separate"/>
      </w:r>
      <w:r>
        <w:rPr>
          <w:rFonts w:ascii="宋体" w:hAnsi="宋体" w:cs="宋体"/>
          <w:highlight w:val="white"/>
        </w:rPr>
        <w:t>3</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"_Toc450839469" \o "Current Document" </w:instrText>
      </w:r>
      <w:r>
        <w:fldChar w:fldCharType="separate"/>
      </w:r>
      <w:r>
        <w:rPr>
          <w:rStyle w:val="37"/>
          <w:rFonts w:hint="eastAsia" w:ascii="宋体" w:hAnsi="宋体"/>
          <w:color w:val="auto"/>
          <w:highlight w:val="white"/>
        </w:rPr>
        <w:t>三、</w:t>
      </w:r>
      <w:r>
        <w:rPr>
          <w:rFonts w:ascii="宋体" w:hAnsi="宋体" w:cs="宋体"/>
          <w:szCs w:val="22"/>
          <w:highlight w:val="white"/>
        </w:rPr>
        <w:tab/>
      </w:r>
      <w:r>
        <w:rPr>
          <w:rStyle w:val="37"/>
          <w:rFonts w:hint="eastAsia" w:ascii="宋体" w:hAnsi="宋体"/>
          <w:color w:val="auto"/>
          <w:highlight w:val="white"/>
        </w:rPr>
        <w:t>基金托管人对基金管理人的业务监督和核查</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_Toc450839469 \h </w:instrText>
      </w:r>
      <w:r>
        <w:rPr>
          <w:rFonts w:ascii="宋体" w:hAnsi="宋体"/>
        </w:rPr>
        <w:fldChar w:fldCharType="separate"/>
      </w:r>
      <w:r>
        <w:rPr>
          <w:rFonts w:ascii="宋体" w:hAnsi="宋体" w:cs="宋体"/>
          <w:highlight w:val="white"/>
        </w:rPr>
        <w:t>4</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"_Toc450839470" \o "Current Document" </w:instrText>
      </w:r>
      <w:r>
        <w:fldChar w:fldCharType="separate"/>
      </w:r>
      <w:r>
        <w:rPr>
          <w:rStyle w:val="37"/>
          <w:rFonts w:hint="eastAsia" w:ascii="宋体" w:hAnsi="宋体"/>
          <w:color w:val="auto"/>
          <w:highlight w:val="white"/>
        </w:rPr>
        <w:t>四、</w:t>
      </w:r>
      <w:r>
        <w:rPr>
          <w:rFonts w:ascii="宋体" w:hAnsi="宋体" w:cs="宋体"/>
          <w:szCs w:val="22"/>
          <w:highlight w:val="white"/>
        </w:rPr>
        <w:tab/>
      </w:r>
      <w:r>
        <w:rPr>
          <w:rStyle w:val="37"/>
          <w:rFonts w:hint="eastAsia" w:ascii="宋体" w:hAnsi="宋体"/>
          <w:color w:val="auto"/>
          <w:highlight w:val="white"/>
        </w:rPr>
        <w:t>基金管理人对基金托管人的业务核查</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_Toc450839470 \h </w:instrText>
      </w:r>
      <w:r>
        <w:rPr>
          <w:rFonts w:ascii="宋体" w:hAnsi="宋体"/>
        </w:rPr>
        <w:fldChar w:fldCharType="separate"/>
      </w:r>
      <w:r>
        <w:rPr>
          <w:rFonts w:ascii="宋体" w:hAnsi="宋体" w:cs="宋体"/>
          <w:highlight w:val="white"/>
        </w:rPr>
        <w:t>11</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"_Toc450839471" \o "Current Document" </w:instrText>
      </w:r>
      <w:r>
        <w:fldChar w:fldCharType="separate"/>
      </w:r>
      <w:r>
        <w:rPr>
          <w:rStyle w:val="37"/>
          <w:rFonts w:hint="eastAsia" w:ascii="宋体" w:hAnsi="宋体"/>
          <w:color w:val="auto"/>
          <w:highlight w:val="white"/>
        </w:rPr>
        <w:t>五、</w:t>
      </w:r>
      <w:r>
        <w:rPr>
          <w:rFonts w:ascii="宋体" w:hAnsi="宋体" w:cs="宋体"/>
          <w:szCs w:val="22"/>
          <w:highlight w:val="white"/>
        </w:rPr>
        <w:tab/>
      </w:r>
      <w:r>
        <w:rPr>
          <w:rStyle w:val="37"/>
          <w:rFonts w:hint="eastAsia" w:ascii="宋体" w:hAnsi="宋体"/>
          <w:color w:val="auto"/>
          <w:highlight w:val="white"/>
        </w:rPr>
        <w:t>基金财产的保管</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_Toc450839471 \h </w:instrText>
      </w:r>
      <w:r>
        <w:rPr>
          <w:rFonts w:ascii="宋体" w:hAnsi="宋体"/>
        </w:rPr>
        <w:fldChar w:fldCharType="separate"/>
      </w:r>
      <w:r>
        <w:rPr>
          <w:rFonts w:ascii="宋体" w:hAnsi="宋体" w:cs="宋体"/>
          <w:highlight w:val="white"/>
        </w:rPr>
        <w:t>12</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"_Toc450839472" \o "Current Document" </w:instrText>
      </w:r>
      <w:r>
        <w:fldChar w:fldCharType="separate"/>
      </w:r>
      <w:r>
        <w:rPr>
          <w:rStyle w:val="37"/>
          <w:rFonts w:hint="eastAsia" w:ascii="宋体" w:hAnsi="宋体"/>
          <w:color w:val="auto"/>
          <w:highlight w:val="white"/>
        </w:rPr>
        <w:t>六、</w:t>
      </w:r>
      <w:r>
        <w:rPr>
          <w:rFonts w:ascii="宋体" w:hAnsi="宋体" w:cs="宋体"/>
          <w:szCs w:val="22"/>
          <w:highlight w:val="white"/>
        </w:rPr>
        <w:tab/>
      </w:r>
      <w:r>
        <w:rPr>
          <w:rStyle w:val="37"/>
          <w:rFonts w:hint="eastAsia" w:ascii="宋体" w:hAnsi="宋体"/>
          <w:color w:val="auto"/>
          <w:highlight w:val="white"/>
        </w:rPr>
        <w:t>指令的发送、确认及执行</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_Toc450839472 \h </w:instrText>
      </w:r>
      <w:r>
        <w:rPr>
          <w:rFonts w:ascii="宋体" w:hAnsi="宋体"/>
        </w:rPr>
        <w:fldChar w:fldCharType="separate"/>
      </w:r>
      <w:r>
        <w:rPr>
          <w:rFonts w:ascii="宋体" w:hAnsi="宋体" w:cs="宋体"/>
          <w:highlight w:val="white"/>
        </w:rPr>
        <w:t>16</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"_Toc450839473" \o "Current Document" </w:instrText>
      </w:r>
      <w:r>
        <w:fldChar w:fldCharType="separate"/>
      </w:r>
      <w:r>
        <w:rPr>
          <w:rStyle w:val="37"/>
          <w:rFonts w:hint="eastAsia" w:ascii="宋体" w:hAnsi="宋体"/>
          <w:color w:val="auto"/>
          <w:highlight w:val="white"/>
        </w:rPr>
        <w:t>七、</w:t>
      </w:r>
      <w:r>
        <w:rPr>
          <w:rFonts w:ascii="宋体" w:hAnsi="宋体" w:cs="宋体"/>
          <w:szCs w:val="22"/>
          <w:highlight w:val="white"/>
        </w:rPr>
        <w:tab/>
      </w:r>
      <w:r>
        <w:rPr>
          <w:rStyle w:val="37"/>
          <w:rFonts w:hint="eastAsia" w:ascii="宋体" w:hAnsi="宋体"/>
          <w:color w:val="auto"/>
          <w:highlight w:val="white"/>
        </w:rPr>
        <w:t>交易及清算交收安排</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_Toc450839473 \h </w:instrText>
      </w:r>
      <w:r>
        <w:rPr>
          <w:rFonts w:ascii="宋体" w:hAnsi="宋体"/>
        </w:rPr>
        <w:fldChar w:fldCharType="separate"/>
      </w:r>
      <w:r>
        <w:rPr>
          <w:rFonts w:ascii="宋体" w:hAnsi="宋体" w:cs="宋体"/>
          <w:highlight w:val="white"/>
        </w:rPr>
        <w:t>20</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"_Toc450839474" \o "Current Document" </w:instrText>
      </w:r>
      <w:r>
        <w:fldChar w:fldCharType="separate"/>
      </w:r>
      <w:r>
        <w:rPr>
          <w:rStyle w:val="37"/>
          <w:rFonts w:hint="eastAsia" w:ascii="宋体" w:hAnsi="宋体"/>
          <w:color w:val="auto"/>
          <w:highlight w:val="white"/>
        </w:rPr>
        <w:t>八、</w:t>
      </w:r>
      <w:r>
        <w:rPr>
          <w:rFonts w:ascii="宋体" w:hAnsi="宋体" w:cs="宋体"/>
          <w:szCs w:val="22"/>
          <w:highlight w:val="white"/>
        </w:rPr>
        <w:tab/>
      </w:r>
      <w:r>
        <w:rPr>
          <w:rStyle w:val="37"/>
          <w:rFonts w:hint="eastAsia" w:ascii="宋体" w:hAnsi="宋体"/>
          <w:color w:val="auto"/>
          <w:highlight w:val="white"/>
        </w:rPr>
        <w:t>基金资产净值计算和会计核算</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_Toc450839474 \h </w:instrText>
      </w:r>
      <w:r>
        <w:rPr>
          <w:rFonts w:ascii="宋体" w:hAnsi="宋体"/>
        </w:rPr>
        <w:fldChar w:fldCharType="separate"/>
      </w:r>
      <w:r>
        <w:rPr>
          <w:rFonts w:ascii="宋体" w:hAnsi="宋体" w:cs="宋体"/>
          <w:highlight w:val="white"/>
        </w:rPr>
        <w:t>22</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"_Toc450839475" \o "Current Document" </w:instrText>
      </w:r>
      <w:r>
        <w:fldChar w:fldCharType="separate"/>
      </w:r>
      <w:r>
        <w:rPr>
          <w:rStyle w:val="37"/>
          <w:rFonts w:hint="eastAsia" w:ascii="宋体" w:hAnsi="宋体"/>
          <w:color w:val="auto"/>
          <w:highlight w:val="white"/>
        </w:rPr>
        <w:t>九、</w:t>
      </w:r>
      <w:r>
        <w:rPr>
          <w:rFonts w:ascii="宋体" w:hAnsi="宋体" w:cs="宋体"/>
          <w:szCs w:val="22"/>
          <w:highlight w:val="white"/>
        </w:rPr>
        <w:tab/>
      </w:r>
      <w:r>
        <w:rPr>
          <w:rStyle w:val="37"/>
          <w:rFonts w:hint="eastAsia" w:ascii="宋体" w:hAnsi="宋体"/>
          <w:color w:val="auto"/>
          <w:highlight w:val="white"/>
        </w:rPr>
        <w:t>基金收益分配</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_Toc450839475 \h </w:instrText>
      </w:r>
      <w:r>
        <w:rPr>
          <w:rFonts w:ascii="宋体" w:hAnsi="宋体"/>
        </w:rPr>
        <w:fldChar w:fldCharType="separate"/>
      </w:r>
      <w:r>
        <w:rPr>
          <w:rFonts w:ascii="宋体" w:hAnsi="宋体" w:cs="宋体"/>
          <w:highlight w:val="white"/>
        </w:rPr>
        <w:t>28</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"_Toc450839476" \o "Current Document" </w:instrText>
      </w:r>
      <w:r>
        <w:fldChar w:fldCharType="separate"/>
      </w:r>
      <w:r>
        <w:rPr>
          <w:rStyle w:val="37"/>
          <w:rFonts w:hint="eastAsia" w:ascii="宋体" w:hAnsi="宋体"/>
          <w:color w:val="auto"/>
          <w:highlight w:val="white"/>
        </w:rPr>
        <w:t>十、</w:t>
      </w:r>
      <w:r>
        <w:rPr>
          <w:rFonts w:ascii="宋体" w:hAnsi="宋体" w:cs="宋体"/>
          <w:szCs w:val="22"/>
          <w:highlight w:val="white"/>
        </w:rPr>
        <w:tab/>
      </w:r>
      <w:r>
        <w:rPr>
          <w:rStyle w:val="37"/>
          <w:rFonts w:hint="eastAsia" w:ascii="宋体" w:hAnsi="宋体"/>
          <w:color w:val="auto"/>
          <w:highlight w:val="white"/>
        </w:rPr>
        <w:t>基金信息披露</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_Toc450839476 \h </w:instrText>
      </w:r>
      <w:r>
        <w:rPr>
          <w:rFonts w:ascii="宋体" w:hAnsi="宋体"/>
        </w:rPr>
        <w:fldChar w:fldCharType="separate"/>
      </w:r>
      <w:r>
        <w:rPr>
          <w:rFonts w:ascii="宋体" w:hAnsi="宋体" w:cs="宋体"/>
          <w:highlight w:val="white"/>
        </w:rPr>
        <w:t>29</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"_Toc450839477" \o "Current Document" </w:instrText>
      </w:r>
      <w:r>
        <w:fldChar w:fldCharType="separate"/>
      </w:r>
      <w:r>
        <w:rPr>
          <w:rStyle w:val="37"/>
          <w:rFonts w:hint="eastAsia" w:ascii="宋体" w:hAnsi="宋体"/>
          <w:color w:val="auto"/>
          <w:highlight w:val="white"/>
        </w:rPr>
        <w:t>十一、</w:t>
      </w:r>
      <w:r>
        <w:rPr>
          <w:rFonts w:ascii="宋体" w:hAnsi="宋体" w:cs="宋体"/>
          <w:szCs w:val="22"/>
          <w:highlight w:val="white"/>
        </w:rPr>
        <w:tab/>
      </w:r>
      <w:r>
        <w:rPr>
          <w:rStyle w:val="37"/>
          <w:rFonts w:hint="eastAsia" w:ascii="宋体" w:hAnsi="宋体"/>
          <w:color w:val="auto"/>
          <w:highlight w:val="white"/>
        </w:rPr>
        <w:t>基金费用</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_Toc450839477 \h </w:instrText>
      </w:r>
      <w:r>
        <w:rPr>
          <w:rFonts w:ascii="宋体" w:hAnsi="宋体"/>
        </w:rPr>
        <w:fldChar w:fldCharType="separate"/>
      </w:r>
      <w:r>
        <w:rPr>
          <w:rFonts w:ascii="宋体" w:hAnsi="宋体" w:cs="宋体"/>
          <w:highlight w:val="white"/>
        </w:rPr>
        <w:t>31</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"_Toc450839478" \o "Current Document" </w:instrText>
      </w:r>
      <w:r>
        <w:fldChar w:fldCharType="separate"/>
      </w:r>
      <w:r>
        <w:rPr>
          <w:rStyle w:val="37"/>
          <w:rFonts w:hint="eastAsia" w:ascii="宋体" w:hAnsi="宋体"/>
          <w:color w:val="auto"/>
          <w:highlight w:val="white"/>
        </w:rPr>
        <w:t>十二、</w:t>
      </w:r>
      <w:r>
        <w:rPr>
          <w:rFonts w:ascii="宋体" w:hAnsi="宋体" w:cs="宋体"/>
          <w:szCs w:val="22"/>
          <w:highlight w:val="white"/>
        </w:rPr>
        <w:tab/>
      </w:r>
      <w:r>
        <w:rPr>
          <w:rStyle w:val="37"/>
          <w:rFonts w:hint="eastAsia" w:ascii="宋体" w:hAnsi="宋体"/>
          <w:color w:val="auto"/>
          <w:highlight w:val="white"/>
        </w:rPr>
        <w:t>基金份额持有人名册的保管</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_Toc450839478 \h </w:instrText>
      </w:r>
      <w:r>
        <w:rPr>
          <w:rFonts w:ascii="宋体" w:hAnsi="宋体"/>
        </w:rPr>
        <w:fldChar w:fldCharType="separate"/>
      </w:r>
      <w:r>
        <w:rPr>
          <w:rFonts w:ascii="宋体" w:hAnsi="宋体" w:cs="宋体"/>
          <w:highlight w:val="white"/>
        </w:rPr>
        <w:t>33</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"_Toc450839479" \o "Current Document" </w:instrText>
      </w:r>
      <w:r>
        <w:fldChar w:fldCharType="separate"/>
      </w:r>
      <w:r>
        <w:rPr>
          <w:rStyle w:val="37"/>
          <w:rFonts w:hint="eastAsia" w:ascii="宋体" w:hAnsi="宋体"/>
          <w:color w:val="auto"/>
          <w:highlight w:val="white"/>
        </w:rPr>
        <w:t>十三、</w:t>
      </w:r>
      <w:r>
        <w:rPr>
          <w:rFonts w:ascii="宋体" w:hAnsi="宋体" w:cs="宋体"/>
          <w:szCs w:val="22"/>
          <w:highlight w:val="white"/>
        </w:rPr>
        <w:tab/>
      </w:r>
      <w:r>
        <w:rPr>
          <w:rStyle w:val="37"/>
          <w:rFonts w:hint="eastAsia" w:ascii="宋体" w:hAnsi="宋体"/>
          <w:color w:val="auto"/>
          <w:highlight w:val="white"/>
        </w:rPr>
        <w:t>基金有关文件档案的保存</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_Toc450839479 \h </w:instrText>
      </w:r>
      <w:r>
        <w:rPr>
          <w:rFonts w:ascii="宋体" w:hAnsi="宋体"/>
        </w:rPr>
        <w:fldChar w:fldCharType="separate"/>
      </w:r>
      <w:r>
        <w:rPr>
          <w:rFonts w:ascii="宋体" w:hAnsi="宋体" w:cs="宋体"/>
          <w:highlight w:val="white"/>
        </w:rPr>
        <w:t>34</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"_Toc450839480" \o "Current Document" </w:instrText>
      </w:r>
      <w:r>
        <w:fldChar w:fldCharType="separate"/>
      </w:r>
      <w:r>
        <w:rPr>
          <w:rStyle w:val="37"/>
          <w:rFonts w:hint="eastAsia" w:ascii="宋体" w:hAnsi="宋体"/>
          <w:color w:val="auto"/>
          <w:highlight w:val="white"/>
        </w:rPr>
        <w:t>十四、</w:t>
      </w:r>
      <w:r>
        <w:rPr>
          <w:rFonts w:ascii="宋体" w:hAnsi="宋体" w:cs="宋体"/>
          <w:szCs w:val="22"/>
          <w:highlight w:val="white"/>
        </w:rPr>
        <w:tab/>
      </w:r>
      <w:r>
        <w:rPr>
          <w:rStyle w:val="37"/>
          <w:rFonts w:hint="eastAsia" w:ascii="宋体" w:hAnsi="宋体"/>
          <w:color w:val="auto"/>
          <w:highlight w:val="white"/>
        </w:rPr>
        <w:t>基金管理人和基金托管人的更换</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_Toc450839480 \h </w:instrText>
      </w:r>
      <w:r>
        <w:rPr>
          <w:rFonts w:ascii="宋体" w:hAnsi="宋体"/>
        </w:rPr>
        <w:fldChar w:fldCharType="separate"/>
      </w:r>
      <w:r>
        <w:rPr>
          <w:rFonts w:ascii="宋体" w:hAnsi="宋体" w:cs="宋体"/>
          <w:highlight w:val="white"/>
        </w:rPr>
        <w:t>35</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"_Toc450839481" \o "Current Document" </w:instrText>
      </w:r>
      <w:r>
        <w:fldChar w:fldCharType="separate"/>
      </w:r>
      <w:r>
        <w:rPr>
          <w:rStyle w:val="37"/>
          <w:rFonts w:hint="eastAsia" w:ascii="宋体" w:hAnsi="宋体"/>
          <w:color w:val="auto"/>
          <w:highlight w:val="white"/>
        </w:rPr>
        <w:t>十五、</w:t>
      </w:r>
      <w:r>
        <w:rPr>
          <w:rFonts w:ascii="宋体" w:hAnsi="宋体" w:cs="宋体"/>
          <w:szCs w:val="22"/>
          <w:highlight w:val="white"/>
        </w:rPr>
        <w:tab/>
      </w:r>
      <w:r>
        <w:rPr>
          <w:rStyle w:val="37"/>
          <w:rFonts w:hint="eastAsia" w:ascii="宋体" w:hAnsi="宋体"/>
          <w:color w:val="auto"/>
          <w:highlight w:val="white"/>
        </w:rPr>
        <w:t>禁止行为</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_Toc450839481 \h </w:instrText>
      </w:r>
      <w:r>
        <w:rPr>
          <w:rFonts w:ascii="宋体" w:hAnsi="宋体"/>
        </w:rPr>
        <w:fldChar w:fldCharType="separate"/>
      </w:r>
      <w:r>
        <w:rPr>
          <w:rFonts w:ascii="宋体" w:hAnsi="宋体" w:cs="宋体"/>
          <w:highlight w:val="white"/>
        </w:rPr>
        <w:t>38</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"_Toc450839482" \o "Current Document" </w:instrText>
      </w:r>
      <w:r>
        <w:fldChar w:fldCharType="separate"/>
      </w:r>
      <w:r>
        <w:rPr>
          <w:rStyle w:val="37"/>
          <w:rFonts w:hint="eastAsia" w:ascii="宋体" w:hAnsi="宋体"/>
          <w:color w:val="auto"/>
          <w:highlight w:val="white"/>
        </w:rPr>
        <w:t>十六、</w:t>
      </w:r>
      <w:r>
        <w:rPr>
          <w:rFonts w:ascii="宋体" w:hAnsi="宋体" w:cs="宋体"/>
          <w:szCs w:val="22"/>
          <w:highlight w:val="white"/>
        </w:rPr>
        <w:tab/>
      </w:r>
      <w:r>
        <w:rPr>
          <w:rStyle w:val="37"/>
          <w:rFonts w:hint="eastAsia" w:ascii="宋体" w:hAnsi="宋体"/>
          <w:color w:val="auto"/>
          <w:highlight w:val="white"/>
        </w:rPr>
        <w:t>托管协议的变更、终止与基金财产的清算</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_Toc450839482 \h </w:instrText>
      </w:r>
      <w:r>
        <w:rPr>
          <w:rFonts w:ascii="宋体" w:hAnsi="宋体"/>
        </w:rPr>
        <w:fldChar w:fldCharType="separate"/>
      </w:r>
      <w:r>
        <w:rPr>
          <w:rFonts w:ascii="宋体" w:hAnsi="宋体" w:cs="宋体"/>
          <w:highlight w:val="white"/>
        </w:rPr>
        <w:t>39</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"_Toc450839483" \o "Current Document" </w:instrText>
      </w:r>
      <w:r>
        <w:fldChar w:fldCharType="separate"/>
      </w:r>
      <w:r>
        <w:rPr>
          <w:rStyle w:val="37"/>
          <w:rFonts w:hint="eastAsia" w:ascii="宋体" w:hAnsi="宋体"/>
          <w:color w:val="auto"/>
          <w:highlight w:val="white"/>
        </w:rPr>
        <w:t>十七、</w:t>
      </w:r>
      <w:r>
        <w:rPr>
          <w:rFonts w:ascii="宋体" w:hAnsi="宋体" w:cs="宋体"/>
          <w:szCs w:val="22"/>
          <w:highlight w:val="white"/>
        </w:rPr>
        <w:tab/>
      </w:r>
      <w:r>
        <w:rPr>
          <w:rStyle w:val="37"/>
          <w:rFonts w:hint="eastAsia" w:ascii="宋体" w:hAnsi="宋体"/>
          <w:color w:val="auto"/>
          <w:highlight w:val="white"/>
        </w:rPr>
        <w:t>违约责任</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_Toc450839483 \h </w:instrText>
      </w:r>
      <w:r>
        <w:rPr>
          <w:rFonts w:ascii="宋体" w:hAnsi="宋体"/>
        </w:rPr>
        <w:fldChar w:fldCharType="separate"/>
      </w:r>
      <w:r>
        <w:rPr>
          <w:rFonts w:ascii="宋体" w:hAnsi="宋体" w:cs="宋体"/>
          <w:highlight w:val="white"/>
        </w:rPr>
        <w:t>41</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"_Toc450839484" \o "Current Document" </w:instrText>
      </w:r>
      <w:r>
        <w:fldChar w:fldCharType="separate"/>
      </w:r>
      <w:r>
        <w:rPr>
          <w:rStyle w:val="37"/>
          <w:rFonts w:hint="eastAsia" w:ascii="宋体" w:hAnsi="宋体"/>
          <w:color w:val="auto"/>
          <w:highlight w:val="white"/>
        </w:rPr>
        <w:t>十八、</w:t>
      </w:r>
      <w:r>
        <w:rPr>
          <w:rFonts w:ascii="宋体" w:hAnsi="宋体" w:cs="宋体"/>
          <w:szCs w:val="22"/>
          <w:highlight w:val="white"/>
        </w:rPr>
        <w:tab/>
      </w:r>
      <w:r>
        <w:rPr>
          <w:rStyle w:val="37"/>
          <w:rFonts w:hint="eastAsia" w:ascii="宋体" w:hAnsi="宋体"/>
          <w:color w:val="auto"/>
          <w:highlight w:val="white"/>
        </w:rPr>
        <w:t>争议解决方式</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_Toc450839484 \h </w:instrText>
      </w:r>
      <w:r>
        <w:rPr>
          <w:rFonts w:ascii="宋体" w:hAnsi="宋体"/>
        </w:rPr>
        <w:fldChar w:fldCharType="separate"/>
      </w:r>
      <w:r>
        <w:rPr>
          <w:rFonts w:ascii="宋体" w:hAnsi="宋体" w:cs="宋体"/>
          <w:highlight w:val="white"/>
        </w:rPr>
        <w:t>42</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"_Toc450839485" \o "Current Document" </w:instrText>
      </w:r>
      <w:r>
        <w:fldChar w:fldCharType="separate"/>
      </w:r>
      <w:r>
        <w:rPr>
          <w:rStyle w:val="37"/>
          <w:rFonts w:hint="eastAsia" w:ascii="宋体" w:hAnsi="宋体"/>
          <w:color w:val="auto"/>
          <w:highlight w:val="white"/>
        </w:rPr>
        <w:t>十九、</w:t>
      </w:r>
      <w:r>
        <w:rPr>
          <w:rFonts w:ascii="宋体" w:hAnsi="宋体" w:cs="宋体"/>
          <w:szCs w:val="22"/>
          <w:highlight w:val="white"/>
        </w:rPr>
        <w:tab/>
      </w:r>
      <w:r>
        <w:rPr>
          <w:rStyle w:val="37"/>
          <w:rFonts w:hint="eastAsia" w:ascii="宋体" w:hAnsi="宋体"/>
          <w:color w:val="auto"/>
          <w:highlight w:val="white"/>
        </w:rPr>
        <w:t>托管协议的效力</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_Toc450839485 \h </w:instrText>
      </w:r>
      <w:r>
        <w:rPr>
          <w:rFonts w:ascii="宋体" w:hAnsi="宋体"/>
        </w:rPr>
        <w:fldChar w:fldCharType="separate"/>
      </w:r>
      <w:r>
        <w:rPr>
          <w:rFonts w:ascii="宋体" w:hAnsi="宋体" w:cs="宋体"/>
          <w:highlight w:val="white"/>
        </w:rPr>
        <w:t>43</w:t>
      </w:r>
      <w:r>
        <w:rPr>
          <w:rFonts w:ascii="宋体" w:hAnsi="宋体"/>
        </w:rPr>
        <w:fldChar w:fldCharType="end"/>
      </w:r>
      <w:r>
        <w:rPr>
          <w:rFonts w:ascii="宋体" w:hAnsi="宋体"/>
        </w:rPr>
        <w:fldChar w:fldCharType="end"/>
      </w:r>
    </w:p>
    <w:p>
      <w:pPr>
        <w:pStyle w:val="23"/>
        <w:rPr>
          <w:rFonts w:ascii="宋体" w:hAnsi="宋体"/>
          <w:szCs w:val="22"/>
        </w:rPr>
      </w:pPr>
      <w:r>
        <w:fldChar w:fldCharType="begin"/>
      </w:r>
      <w:r>
        <w:instrText xml:space="preserve"> HYPERLINK \l "_Toc450839486" \o "Current Document" </w:instrText>
      </w:r>
      <w:r>
        <w:fldChar w:fldCharType="separate"/>
      </w:r>
      <w:r>
        <w:rPr>
          <w:rStyle w:val="37"/>
          <w:rFonts w:hint="eastAsia" w:ascii="宋体" w:hAnsi="宋体"/>
          <w:color w:val="auto"/>
          <w:highlight w:val="white"/>
        </w:rPr>
        <w:t>二十、</w:t>
      </w:r>
      <w:r>
        <w:rPr>
          <w:rFonts w:ascii="宋体" w:hAnsi="宋体" w:cs="宋体"/>
          <w:szCs w:val="22"/>
          <w:highlight w:val="white"/>
        </w:rPr>
        <w:tab/>
      </w:r>
      <w:r>
        <w:rPr>
          <w:rStyle w:val="37"/>
          <w:rFonts w:hint="eastAsia" w:ascii="宋体" w:hAnsi="宋体"/>
          <w:color w:val="auto"/>
          <w:highlight w:val="white"/>
        </w:rPr>
        <w:t>其他事项</w:t>
      </w:r>
      <w:r>
        <w:rPr>
          <w:rFonts w:ascii="宋体" w:hAnsi="宋体" w:cs="宋体"/>
          <w:highlight w:val="white"/>
        </w:rPr>
        <w:tab/>
      </w:r>
      <w:r>
        <w:rPr>
          <w:rFonts w:ascii="宋体" w:hAnsi="宋体"/>
        </w:rPr>
        <w:fldChar w:fldCharType="begin"/>
      </w:r>
      <w:r>
        <w:rPr>
          <w:rFonts w:ascii="宋体" w:hAnsi="宋体" w:cs="宋体"/>
          <w:highlight w:val="white"/>
        </w:rPr>
        <w:instrText xml:space="preserve"> PAGEREF _Toc450839486 \h </w:instrText>
      </w:r>
      <w:r>
        <w:rPr>
          <w:rFonts w:ascii="宋体" w:hAnsi="宋体"/>
        </w:rPr>
        <w:fldChar w:fldCharType="separate"/>
      </w:r>
      <w:r>
        <w:rPr>
          <w:rFonts w:ascii="宋体" w:hAnsi="宋体" w:cs="宋体"/>
          <w:highlight w:val="white"/>
        </w:rPr>
        <w:t>44</w:t>
      </w:r>
      <w:r>
        <w:rPr>
          <w:rFonts w:ascii="宋体" w:hAnsi="宋体"/>
        </w:rPr>
        <w:fldChar w:fldCharType="end"/>
      </w:r>
      <w:r>
        <w:rPr>
          <w:rFonts w:ascii="宋体" w:hAnsi="宋体"/>
        </w:rPr>
        <w:fldChar w:fldCharType="end"/>
      </w:r>
    </w:p>
    <w:p>
      <w:pPr>
        <w:spacing w:line="360" w:lineRule="auto"/>
        <w:rPr>
          <w:rFonts w:ascii="宋体" w:hAnsi="宋体"/>
          <w:sz w:val="24"/>
        </w:rPr>
      </w:pPr>
      <w:r>
        <w:rPr>
          <w:rFonts w:ascii="宋体" w:hAnsi="宋体"/>
          <w:b/>
          <w:sz w:val="24"/>
        </w:rPr>
        <w:fldChar w:fldCharType="end"/>
      </w:r>
    </w:p>
    <w:p>
      <w:pPr>
        <w:snapToGrid w:val="0"/>
        <w:spacing w:line="360" w:lineRule="auto"/>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r>
        <w:rPr>
          <w:rFonts w:ascii="宋体" w:hAnsi="宋体"/>
          <w:sz w:val="24"/>
          <w:highlight w:val="white"/>
        </w:rPr>
        <w:br w:type="page"/>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鉴于易方达基金管理有限公司系一家依照中国法律合法成立并有效存续的有限责任公司，按照相关法律法规的规定具备担任基金管理人的资格和能力，拟募集发行</w:t>
      </w:r>
      <w:r>
        <w:rPr>
          <w:rFonts w:ascii="宋体" w:hAnsi="宋体" w:cs="Arial"/>
          <w:sz w:val="24"/>
          <w:lang w:eastAsia="zh-CN"/>
        </w:rPr>
        <w:t>易方达中证电池主题交易型开放式指数证券投资基金</w:t>
      </w:r>
      <w:r>
        <w:rPr>
          <w:rFonts w:hint="eastAsia" w:ascii="宋体" w:hAnsi="宋体" w:cs="Arial"/>
          <w:sz w:val="24"/>
          <w:highlight w:val="white"/>
          <w:lang w:eastAsia="zh-CN"/>
        </w:rPr>
        <w:t>；</w:t>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鉴于中国民生银行股份有限公司系一家依照中国法律合法成立并有效存续的银行，按照相关法律法规的规定具备担任基金托管人的资格和能力；</w:t>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鉴于易方达基金管理有限公司拟担任</w:t>
      </w:r>
      <w:r>
        <w:rPr>
          <w:rFonts w:ascii="宋体" w:hAnsi="宋体" w:cs="Arial"/>
          <w:sz w:val="24"/>
          <w:lang w:eastAsia="zh-CN"/>
        </w:rPr>
        <w:t>易方达中证电池主题交易型开放式指数证券投资基金</w:t>
      </w:r>
      <w:r>
        <w:rPr>
          <w:rFonts w:hint="eastAsia" w:ascii="宋体" w:hAnsi="宋体" w:cs="Arial"/>
          <w:sz w:val="24"/>
          <w:highlight w:val="white"/>
          <w:lang w:eastAsia="zh-CN"/>
        </w:rPr>
        <w:t>的基金管理人，中国民生银行股份有限公司拟担任</w:t>
      </w:r>
      <w:r>
        <w:rPr>
          <w:rFonts w:ascii="宋体" w:hAnsi="宋体" w:cs="Arial"/>
          <w:sz w:val="24"/>
          <w:lang w:eastAsia="zh-CN"/>
        </w:rPr>
        <w:t>易方达中证电池主题交易型开放式指数证券投资基金</w:t>
      </w:r>
      <w:r>
        <w:rPr>
          <w:rFonts w:hint="eastAsia" w:ascii="宋体" w:hAnsi="宋体" w:cs="Arial"/>
          <w:sz w:val="24"/>
          <w:highlight w:val="white"/>
          <w:lang w:eastAsia="zh-CN"/>
        </w:rPr>
        <w:t>的基金托管人；</w:t>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为明确</w:t>
      </w:r>
      <w:r>
        <w:rPr>
          <w:rFonts w:ascii="宋体" w:hAnsi="宋体" w:cs="Arial"/>
          <w:sz w:val="24"/>
          <w:lang w:eastAsia="zh-CN"/>
        </w:rPr>
        <w:t>易方达中证电池主题交易型开放式指数证券投资基金</w:t>
      </w:r>
      <w:r>
        <w:rPr>
          <w:rFonts w:hint="eastAsia" w:ascii="宋体" w:hAnsi="宋体" w:cs="Arial"/>
          <w:sz w:val="24"/>
          <w:highlight w:val="white"/>
          <w:lang w:eastAsia="zh-CN"/>
        </w:rPr>
        <w:t>的基金管理人和基金托管人之间的权利义务关系，特制订本托管协议；</w:t>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除非另有约定，《</w:t>
      </w:r>
      <w:r>
        <w:rPr>
          <w:rFonts w:ascii="宋体" w:hAnsi="宋体" w:cs="Arial"/>
          <w:sz w:val="24"/>
          <w:lang w:eastAsia="zh-CN"/>
        </w:rPr>
        <w:t>易方达中证电池主题交易型开放式指数证券投资基金</w:t>
      </w:r>
      <w:r>
        <w:rPr>
          <w:rFonts w:hint="eastAsia" w:ascii="宋体" w:hAnsi="宋体" w:cs="Arial"/>
          <w:sz w:val="24"/>
          <w:highlight w:val="white"/>
          <w:lang w:eastAsia="zh-CN"/>
        </w:rPr>
        <w:t>基金合同》(以下简称“基金合同”)中定义的术语在用于本托管协议时应具有相同的含义；若有抵触应以基金合同为准，并依其条款解释。</w:t>
      </w:r>
    </w:p>
    <w:p>
      <w:pPr>
        <w:widowControl/>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本基金信息披露事项以法律法规规定及基金合同约定的内容为准。</w:t>
      </w:r>
    </w:p>
    <w:p>
      <w:pPr>
        <w:pStyle w:val="2"/>
        <w:numPr>
          <w:ilvl w:val="0"/>
          <w:numId w:val="1"/>
        </w:numPr>
        <w:spacing w:line="360" w:lineRule="auto"/>
        <w:jc w:val="center"/>
        <w:rPr>
          <w:rFonts w:ascii="宋体" w:hAnsi="宋体"/>
          <w:sz w:val="28"/>
          <w:szCs w:val="28"/>
        </w:rPr>
      </w:pPr>
      <w:bookmarkStart w:id="6" w:name="_Toc295832988"/>
      <w:bookmarkEnd w:id="6"/>
      <w:bookmarkStart w:id="7" w:name="_Toc295832621"/>
      <w:bookmarkEnd w:id="7"/>
      <w:bookmarkStart w:id="8" w:name="_Toc295833663"/>
      <w:bookmarkEnd w:id="8"/>
      <w:bookmarkStart w:id="9" w:name="_Toc295833664"/>
      <w:bookmarkEnd w:id="9"/>
      <w:bookmarkStart w:id="10" w:name="_Toc295832930"/>
      <w:bookmarkEnd w:id="10"/>
      <w:bookmarkStart w:id="11" w:name="_Toc295832928"/>
      <w:bookmarkEnd w:id="11"/>
      <w:bookmarkStart w:id="12" w:name="_Toc295832990"/>
      <w:bookmarkEnd w:id="12"/>
      <w:bookmarkStart w:id="13" w:name="_Toc295832622"/>
      <w:bookmarkEnd w:id="13"/>
      <w:bookmarkStart w:id="14" w:name="_Toc295832929"/>
      <w:bookmarkEnd w:id="14"/>
      <w:bookmarkStart w:id="15" w:name="_Toc295832623"/>
      <w:bookmarkEnd w:id="15"/>
      <w:bookmarkStart w:id="16" w:name="_Toc295832989"/>
      <w:bookmarkEnd w:id="16"/>
      <w:bookmarkStart w:id="17" w:name="_Toc295833665"/>
      <w:bookmarkEnd w:id="17"/>
      <w:bookmarkStart w:id="18" w:name="_Toc270669852"/>
      <w:bookmarkStart w:id="19" w:name="_Toc124325885"/>
      <w:r>
        <w:rPr>
          <w:rFonts w:ascii="宋体" w:hAnsi="宋体"/>
          <w:sz w:val="28"/>
          <w:szCs w:val="28"/>
          <w:highlight w:val="white"/>
          <w:lang w:eastAsia="zh-CN"/>
        </w:rPr>
        <w:br w:type="page"/>
      </w:r>
      <w:bookmarkEnd w:id="18"/>
      <w:bookmarkEnd w:id="19"/>
      <w:bookmarkStart w:id="20" w:name="_Toc276739045"/>
      <w:bookmarkStart w:id="21" w:name="_Toc450839467"/>
      <w:bookmarkStart w:id="22" w:name="_Toc295833667"/>
      <w:r>
        <w:rPr>
          <w:rFonts w:ascii="宋体" w:hAnsi="宋体"/>
          <w:sz w:val="28"/>
          <w:szCs w:val="28"/>
          <w:highlight w:val="white"/>
        </w:rPr>
        <w:t>基金托管协议当事人</w:t>
      </w:r>
      <w:bookmarkEnd w:id="20"/>
      <w:bookmarkEnd w:id="21"/>
      <w:bookmarkEnd w:id="22"/>
    </w:p>
    <w:p>
      <w:pPr>
        <w:snapToGrid w:val="0"/>
        <w:spacing w:line="360" w:lineRule="auto"/>
        <w:ind w:firstLine="480" w:firstLineChars="200"/>
        <w:rPr>
          <w:rFonts w:ascii="宋体" w:hAnsi="宋体"/>
          <w:sz w:val="24"/>
        </w:rPr>
      </w:pPr>
      <w:r>
        <w:rPr>
          <w:rFonts w:hint="eastAsia" w:ascii="宋体" w:hAnsi="宋体"/>
          <w:sz w:val="24"/>
          <w:highlight w:val="white"/>
        </w:rPr>
        <w:t>（一）基金管理人</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名称：易方达基金管理有限公司</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住所：广东省珠海市横琴新区荣粤道188号6层</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法定代表人：吴欣荣</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设立日期：2001年4月17日</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批准设立机关及批准设立文号：中国证券监督管理委员会，证监基金字[2001]4号</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组织形式：有限责任公司</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注册资本：13,244.2万元人民币</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存续期限：持续经营</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联系电话：4008818088</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（二）基金托管人</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名称：中国民生银行股份有限公司</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注册地址：北京市西城区复兴门内大街2号</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办公地址：北京市西城区复兴门内大街2号</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邮政编码：100031</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法定代表人：</w:t>
      </w:r>
      <w:r>
        <w:rPr>
          <w:rFonts w:hint="eastAsia" w:ascii="宋体" w:hAnsi="宋体" w:cs="宋体"/>
          <w:sz w:val="24"/>
          <w:szCs w:val="21"/>
          <w:highlight w:val="white"/>
          <w:lang w:eastAsia="zh-CN"/>
        </w:rPr>
        <w:t>高迎欣</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成立日期：</w:t>
      </w:r>
      <w:r>
        <w:rPr>
          <w:rFonts w:hint="eastAsia" w:ascii="宋体" w:hAnsi="宋体" w:cs="宋体"/>
          <w:sz w:val="24"/>
          <w:szCs w:val="21"/>
          <w:highlight w:val="white"/>
          <w:lang w:eastAsia="zh-CN"/>
        </w:rPr>
        <w:t>1996年2月7日</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基金托管业务批准文号：证监基金字[2004]101号</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组织形式：</w:t>
      </w:r>
      <w:r>
        <w:rPr>
          <w:rFonts w:hint="eastAsia" w:ascii="宋体" w:hAnsi="宋体"/>
          <w:sz w:val="24"/>
          <w:highlight w:val="white"/>
          <w:lang w:eastAsia="zh-CN"/>
        </w:rPr>
        <w:t>其他股份有限公司（上市）</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注册资本：</w:t>
      </w:r>
      <w:r>
        <w:rPr>
          <w:rFonts w:ascii="宋体" w:hAnsi="宋体" w:cs="宋体"/>
          <w:sz w:val="24"/>
          <w:highlight w:val="white"/>
          <w:lang w:eastAsia="zh-CN"/>
        </w:rPr>
        <w:t>43,782,418,502</w:t>
      </w:r>
      <w:r>
        <w:rPr>
          <w:rFonts w:hint="eastAsia" w:ascii="宋体" w:hAnsi="宋体"/>
          <w:color w:val="000000"/>
          <w:sz w:val="24"/>
          <w:highlight w:val="white"/>
          <w:lang w:eastAsia="zh-CN"/>
        </w:rPr>
        <w:t>元人民币</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存续期间：1996年02月07日至长期</w:t>
      </w:r>
    </w:p>
    <w:p>
      <w:pPr>
        <w:snapToGrid w:val="0"/>
        <w:spacing w:line="360" w:lineRule="auto"/>
        <w:ind w:firstLine="480" w:firstLineChars="200"/>
        <w:rPr>
          <w:rFonts w:ascii="宋体" w:hAnsi="宋体" w:cs="Arial"/>
          <w:sz w:val="24"/>
        </w:rPr>
      </w:pPr>
      <w:r>
        <w:rPr>
          <w:rFonts w:hint="eastAsia" w:ascii="宋体" w:hAnsi="宋体" w:cs="Arial"/>
          <w:sz w:val="24"/>
          <w:highlight w:val="white"/>
          <w:lang w:eastAsia="zh-CN"/>
        </w:rPr>
        <w:t>经营范围：吸收公众存款；发放短期、中期和长期贷款；办理国内外结算；办理票据承兑与贴现、发行金融债券；代理发行、代理兑付、承销政府债券；买卖政府债券、金融债券；从事同业拆借；买卖、代理买卖外汇；从事结汇、售汇业务；从事银行卡业务；提供信用证服务及担保；代理收付款项；提供保管箱服务；经国务院银行业监督管理机构批准的其他业务；保险兼业代理业务；证券投资基金销售、证券投资基金托管。（市场主体依法自主选择经营项目，开展经营活动；保险兼业代理业务、证券投资基金销售、证券投资基金托管以及依法须经批准的项目，经相关部门批准后依批准的内容开展经营活动；不得从事国家和本市产业政策禁止和限制类项目的经营活动。</w:t>
      </w:r>
      <w:r>
        <w:rPr>
          <w:rFonts w:hint="eastAsia" w:ascii="宋体" w:hAnsi="宋体" w:cs="Arial"/>
          <w:sz w:val="24"/>
          <w:highlight w:val="white"/>
        </w:rPr>
        <w:t>）</w:t>
      </w:r>
    </w:p>
    <w:p>
      <w:pPr>
        <w:pStyle w:val="2"/>
        <w:numPr>
          <w:ilvl w:val="0"/>
          <w:numId w:val="1"/>
        </w:numPr>
        <w:spacing w:line="360" w:lineRule="auto"/>
        <w:jc w:val="center"/>
        <w:rPr>
          <w:rFonts w:ascii="宋体" w:hAnsi="宋体"/>
          <w:szCs w:val="24"/>
          <w:lang w:eastAsia="zh-CN"/>
        </w:rPr>
      </w:pPr>
      <w:r>
        <w:rPr>
          <w:rFonts w:ascii="宋体" w:hAnsi="宋体"/>
          <w:sz w:val="24"/>
          <w:szCs w:val="24"/>
          <w:highlight w:val="white"/>
          <w:lang w:eastAsia="zh-CN"/>
        </w:rPr>
        <w:br w:type="page"/>
      </w:r>
      <w:bookmarkStart w:id="23" w:name="_Toc295832992"/>
      <w:bookmarkEnd w:id="23"/>
      <w:bookmarkStart w:id="24" w:name="_Toc295832625"/>
      <w:bookmarkEnd w:id="24"/>
      <w:bookmarkStart w:id="25" w:name="_Toc295832932"/>
      <w:bookmarkEnd w:id="25"/>
      <w:bookmarkStart w:id="26" w:name="_Toc450839468"/>
      <w:bookmarkStart w:id="27" w:name="_Toc295833668"/>
      <w:bookmarkStart w:id="28" w:name="_Toc270669853"/>
      <w:bookmarkStart w:id="29" w:name="_Toc124325886"/>
      <w:r>
        <w:rPr>
          <w:rFonts w:hint="eastAsia" w:ascii="宋体" w:hAnsi="宋体"/>
          <w:sz w:val="28"/>
          <w:szCs w:val="28"/>
          <w:highlight w:val="white"/>
          <w:lang w:eastAsia="zh-CN"/>
        </w:rPr>
        <w:t>基金托管协议的依据、目的和原则</w:t>
      </w:r>
      <w:bookmarkEnd w:id="26"/>
      <w:bookmarkEnd w:id="27"/>
      <w:bookmarkEnd w:id="28"/>
      <w:bookmarkEnd w:id="29"/>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（一）订立托管协议的依据</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协议依据《中华人民共和国证券投资基金法》(简称“《基金法》”)、《证券投资基金托管业务管理办法》、《公开募集证券投资基金运作管理办法》（简称“《运作办法》”）、《公开募集证券投资基金销售机构监督管理办法》（简称“《销售办法》”）、《公开</w:t>
      </w:r>
      <w:r>
        <w:rPr>
          <w:rFonts w:ascii="宋体" w:hAnsi="宋体" w:cs="Arial"/>
          <w:sz w:val="24"/>
          <w:highlight w:val="white"/>
          <w:lang w:eastAsia="zh-CN"/>
        </w:rPr>
        <w:t>募集</w:t>
      </w:r>
      <w:r>
        <w:rPr>
          <w:rFonts w:hint="eastAsia" w:ascii="宋体" w:hAnsi="宋体" w:cs="Arial"/>
          <w:sz w:val="24"/>
          <w:highlight w:val="white"/>
          <w:lang w:eastAsia="zh-CN"/>
        </w:rPr>
        <w:t>证券投资基金信息披露管理办法》（简称“《信息披露办法》”）、《证券投资基金信息披露内容与格式准则第7号〈托管协议的内容与格式〉》、</w:t>
      </w:r>
      <w:r>
        <w:rPr>
          <w:rFonts w:ascii="宋体" w:hAnsi="宋体" w:cs="Arial"/>
          <w:sz w:val="24"/>
          <w:highlight w:val="white"/>
          <w:lang w:eastAsia="zh-CN"/>
        </w:rPr>
        <w:t>《公开募集开放式</w:t>
      </w:r>
      <w:r>
        <w:rPr>
          <w:rFonts w:hint="eastAsia" w:ascii="宋体" w:hAnsi="宋体" w:cs="Arial"/>
          <w:sz w:val="24"/>
          <w:highlight w:val="white"/>
          <w:lang w:eastAsia="zh-CN"/>
        </w:rPr>
        <w:t>证券</w:t>
      </w:r>
      <w:r>
        <w:rPr>
          <w:rFonts w:ascii="宋体" w:hAnsi="宋体" w:cs="Arial"/>
          <w:sz w:val="24"/>
          <w:highlight w:val="white"/>
          <w:lang w:eastAsia="zh-CN"/>
        </w:rPr>
        <w:t>投资基金流动性风险管理规定》（简称“《流动性风险</w:t>
      </w:r>
      <w:r>
        <w:rPr>
          <w:rFonts w:hint="eastAsia" w:ascii="宋体" w:hAnsi="宋体" w:cs="Arial"/>
          <w:sz w:val="24"/>
          <w:highlight w:val="white"/>
          <w:lang w:eastAsia="zh-CN"/>
        </w:rPr>
        <w:t>管理</w:t>
      </w:r>
      <w:r>
        <w:rPr>
          <w:rFonts w:ascii="宋体" w:hAnsi="宋体" w:cs="Arial"/>
          <w:sz w:val="24"/>
          <w:highlight w:val="white"/>
          <w:lang w:eastAsia="zh-CN"/>
        </w:rPr>
        <w:t>规定》”）</w:t>
      </w:r>
      <w:r>
        <w:rPr>
          <w:rFonts w:hint="eastAsia" w:ascii="宋体" w:hAnsi="宋体" w:cs="Arial"/>
          <w:sz w:val="24"/>
          <w:highlight w:val="white"/>
          <w:lang w:eastAsia="zh-CN"/>
        </w:rPr>
        <w:t>等有关法律法规、基金合同及其他有关规定制订。</w:t>
      </w:r>
    </w:p>
    <w:p>
      <w:pPr>
        <w:snapToGrid w:val="0"/>
        <w:spacing w:line="360" w:lineRule="auto"/>
        <w:ind w:firstLine="480" w:firstLineChars="200"/>
        <w:rPr>
          <w:rFonts w:ascii="宋体" w:hAnsi="宋体"/>
          <w:sz w:val="24"/>
          <w:szCs w:val="20"/>
          <w:lang w:eastAsia="zh-CN"/>
        </w:rPr>
      </w:pPr>
      <w:r>
        <w:rPr>
          <w:rFonts w:hint="eastAsia" w:ascii="宋体" w:hAnsi="宋体"/>
          <w:sz w:val="24"/>
          <w:highlight w:val="white"/>
          <w:lang w:eastAsia="zh-CN"/>
        </w:rPr>
        <w:t>（二）订立托管协议的目的</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（三）订立托管协议的原则</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基金管理人和基金托管人本着平等自愿、诚实信用、充分保护基金份额持有人合法权益的原则，经协商一致，签订本协议。</w:t>
      </w:r>
    </w:p>
    <w:p>
      <w:pPr>
        <w:pStyle w:val="2"/>
        <w:numPr>
          <w:ilvl w:val="0"/>
          <w:numId w:val="1"/>
        </w:numPr>
        <w:spacing w:line="360" w:lineRule="auto"/>
        <w:jc w:val="center"/>
        <w:rPr>
          <w:rFonts w:ascii="宋体" w:hAnsi="宋体"/>
          <w:sz w:val="28"/>
          <w:szCs w:val="28"/>
          <w:lang w:eastAsia="zh-CN"/>
        </w:rPr>
      </w:pPr>
      <w:bookmarkStart w:id="30" w:name="_Toc295832628"/>
      <w:bookmarkEnd w:id="30"/>
      <w:bookmarkStart w:id="31" w:name="_Toc295832630"/>
      <w:bookmarkEnd w:id="31"/>
      <w:bookmarkStart w:id="32" w:name="_Toc295832629"/>
      <w:bookmarkEnd w:id="32"/>
      <w:bookmarkStart w:id="33" w:name="_Toc295832935"/>
      <w:bookmarkEnd w:id="33"/>
      <w:bookmarkStart w:id="34" w:name="_Toc295832996"/>
      <w:bookmarkEnd w:id="34"/>
      <w:bookmarkStart w:id="35" w:name="_Toc295832936"/>
      <w:bookmarkEnd w:id="35"/>
      <w:bookmarkStart w:id="36" w:name="_Toc295832997"/>
      <w:bookmarkEnd w:id="36"/>
      <w:bookmarkStart w:id="37" w:name="_Toc295832995"/>
      <w:bookmarkEnd w:id="37"/>
      <w:bookmarkStart w:id="38" w:name="_Toc295832937"/>
      <w:bookmarkEnd w:id="38"/>
      <w:r>
        <w:rPr>
          <w:rFonts w:ascii="宋体" w:hAnsi="宋体"/>
          <w:sz w:val="24"/>
          <w:szCs w:val="24"/>
          <w:highlight w:val="white"/>
          <w:lang w:eastAsia="zh-CN"/>
        </w:rPr>
        <w:br w:type="page"/>
      </w:r>
      <w:bookmarkStart w:id="39" w:name="_Toc450839469"/>
      <w:r>
        <w:rPr>
          <w:rFonts w:hint="eastAsia" w:ascii="宋体" w:hAnsi="宋体"/>
          <w:sz w:val="28"/>
          <w:szCs w:val="28"/>
          <w:highlight w:val="white"/>
          <w:lang w:eastAsia="zh-CN"/>
        </w:rPr>
        <w:t>基金托管人对基金管理人的业务监督和核查</w:t>
      </w:r>
      <w:bookmarkEnd w:id="39"/>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基金托管人根据有关法律法规的规定及基金合同的约定，对基金投资范围、投资对象进行监督。基金合同明确约定基金投资风格或证券选择标准的，基金管理人应提供投资品种池，以便基金托管人运用相关技术系统，对基金实际投资是否符合基金合同关于主题证券投资比例的约定进行监督，对存在疑义的事项进行核查。基金管理人应通过电子邮件或双方认可的其他方式完整、准确地向基金托管人提供投资品种池信息，如因基金管理人原因未向基金托管人提供投资品种池而造成基金托管人投资监督不及时的，基金托管人不承担相关责任。</w:t>
      </w:r>
    </w:p>
    <w:p>
      <w:pPr>
        <w:snapToGrid w:val="0"/>
        <w:spacing w:line="360" w:lineRule="auto"/>
        <w:ind w:firstLine="480" w:firstLineChars="200"/>
        <w:rPr>
          <w:rFonts w:ascii="宋体" w:hAnsi="宋体" w:cs="Arial"/>
          <w:sz w:val="24"/>
          <w:lang w:eastAsia="zh-CN"/>
        </w:rPr>
      </w:pPr>
      <w:r>
        <w:rPr>
          <w:rFonts w:ascii="宋体" w:hAnsi="宋体" w:cs="Arial"/>
          <w:sz w:val="24"/>
          <w:lang w:eastAsia="zh-CN"/>
        </w:rPr>
        <w:t>本基金的投资范围包括标的指数成份股及备选成份股（含存托凭证）、除标的指数成份股及备选成份股以外的其他股票（包括创业板、科创板及其他依法发行上市的股票、存托凭证）、债券（包括国债、央行票据、地方政府债、金融债、企业债、公司债、次级债、中期票据、短期融资券、超短期融资券、政府支持机构债券、可转换债券、可交换债券等）、债券回购、资产支持证券、银行存款、同业存单、货币市场工具、金融衍生工具（包括股指期货、国债期货、股票期权等）以及法律法规或中国证监会允许基金投资的其他金融工具。</w:t>
      </w:r>
    </w:p>
    <w:p>
      <w:pPr>
        <w:snapToGrid w:val="0"/>
        <w:spacing w:line="360" w:lineRule="auto"/>
        <w:ind w:firstLine="480" w:firstLineChars="200"/>
        <w:rPr>
          <w:rFonts w:ascii="宋体" w:hAnsi="宋体" w:cs="Arial"/>
          <w:sz w:val="24"/>
          <w:lang w:eastAsia="zh-CN"/>
        </w:rPr>
      </w:pPr>
      <w:r>
        <w:rPr>
          <w:rFonts w:ascii="宋体" w:hAnsi="宋体" w:cs="Arial"/>
          <w:sz w:val="24"/>
          <w:lang w:eastAsia="zh-CN"/>
        </w:rPr>
        <w:t>如法律法规或监管机构以后允许基金投资其他品种，基金管理人在履行适当程序后，本基金可以将其纳入投资范围。</w:t>
      </w:r>
    </w:p>
    <w:p>
      <w:pPr>
        <w:snapToGrid w:val="0"/>
        <w:spacing w:line="360" w:lineRule="auto"/>
        <w:ind w:firstLine="480" w:firstLineChars="200"/>
        <w:rPr>
          <w:rFonts w:ascii="宋体" w:hAnsi="宋体" w:cs="Arial"/>
          <w:sz w:val="24"/>
          <w:lang w:eastAsia="zh-CN"/>
        </w:rPr>
      </w:pPr>
      <w:r>
        <w:rPr>
          <w:rFonts w:ascii="宋体" w:hAnsi="宋体" w:cs="Arial"/>
          <w:sz w:val="24"/>
          <w:lang w:eastAsia="zh-CN"/>
        </w:rPr>
        <w:t>本基金将根据法律法规的规定参与转融通证券出借及融资业务。</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基金的投资组合比例为：</w:t>
      </w:r>
      <w:r>
        <w:rPr>
          <w:rFonts w:ascii="宋体" w:hAnsi="宋体" w:cs="Arial"/>
          <w:sz w:val="24"/>
          <w:lang w:eastAsia="zh-CN"/>
        </w:rPr>
        <w:t>本基金投资于标的指数成份股及备选成份股的资产不低于非现金基金资产的80%且不低于基金资产净值的90%，法律法规另有规定的除外。</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（二）基金托管人根据有关法律法规的规定及基金合同的约定，对基金投资、融资比例进行监督。基金托管人按下述比例和调整期限进行监督：</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1.本基金投资于标的指数成份股及备选成份股的资产不低于非现金基金资产的80%且不低于基金资产净值的90%；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2.本基金投资于同一原始权益人的各类资产支持证券的比例，不得超过基金资产净值的10%；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3.本基金持有的全部资产支持证券，其市值不得超过基金资产净值的20%；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4.本基金持有的同一（指同一信用级别）资产支持证券的比例，不得超过该资产支持证券规模的10%；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5、本基金管理人管理且由本基金托管人托管的全部基金投资于同一原始权益人的各类资产支持证券，不得超过其各类资产支持证券合计规模的10%；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6.本基金应投资于信用级别评级为BBB以上（含BBB）的资产支持证券。基金持有资产支持证券期间，如果其信用等级下降、不再符合投资标准，应在评级报告发布之日起3个月内予以全部卖出；</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7.基金财产参与股票发行申购，本基金所申报的金额不超过本基金的总资产，本基金所申报的股票数量不超过拟发行股票公司本次发行股票的总量；</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8.本基金参与股指期货交易的，应当符合下列要求：在任何交易日日终，持有的买入股指期货合约价值，不得超过基金资产净值的10%；在任何交易日日终，持有的买入国债期货和股指期货合约价值与有价证券市值之和，不得超过基金资产净值的100%，其中，有价证券指股票、债券（不含到期日在一年以内的政府债券）、资产支持证券、买入返售金融资产（不含质押式回购）等；在任何交易日日终，持有的卖出股指期货合约价值不得超过基金持有的股票总市值的20%；持有的股票市值和买入、卖出股指期货合约价值，合计（轧差计算）应当符合基金合同关于股票投资比例的有关约定；在任何交易日内交易（不包括平仓）的股指期货合约的成交金额不得超过上一交易日基金资产净值的20%；每个交易日日终在扣除股指期货、国债期货合约需缴纳的交易保证金后，应当保持不低于交易保证金一倍的现金；</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9.本基金参与国债期货交易的，应当符合下列要求：在任何交易日日终，本基金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10.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11.本基金参与转融通证券出借业务的，应当符合下列要求：出借证券资产不得超过基金资产净值的30%，出借期限在10个交易日以上的出借证券应纳入《流动性风险管理规定》所述流动性受限证券的范围；参与出借业务的单只证券不得超过基金持有该证券总量的30%；最近6个月内日均基金资产净值不得低于2 亿元；证券出借的平均剩余期限不得超过30天，平均剩余期限按照市值加权平均计算；</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12.基金参与融资业务后，在任何交易日日终，持有的融资买入股票与其他有价证券市值之和，不得超过基金资产净值的95%；</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13.本基金主动投资于流动性受限资产的市值合计不得超过基金资产净值的15%；因证券市场波动、上市公司股票停牌、基金规模变动等基金管理人之外的因素致使基金不符合该比例限制的，基金管理人不得主动新增流动性受限资产的投资；</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14.本基金与私募类证券资管产品及中国证监会认定的其他主体为交易对手开展逆回购交易的，可接受质押品的资质要求应当与基金合同约定的投资范围保持一致；</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15.本基金资产总值不超过基金资产净值的140%；</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16.本基金投资存托凭证的比例限制依照境内上市交易的股票执行，与境内上市交易的股票合并计算；</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17.法律法规及中国证监会规定的和《基金合同》约定的其他投资限制。</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除上述6、7、11、13、14情形之外，因证券/期货市场波动、证券发行人合并、基金规模变动、标的指数成份股调整、流动性限制或成份股市场价格变化等基金管理人之外的因素致使基金投资比例不符合上述规定投资比例的，基金管理人应当在10个交易日内进行调整，但中国证监会规定的特殊情形除外。因证券/期货市场波动、证券发行人合并、基金规模变动等基金管理人之外的因素致使基金投资不符合第11项规定的，基金管理人不得新增出借业务。法律法规或监管部门另有规定的，届时按最新规定执行。</w:t>
      </w:r>
    </w:p>
    <w:p>
      <w:pPr>
        <w:spacing w:line="360" w:lineRule="auto"/>
        <w:ind w:firstLine="480" w:firstLineChars="200"/>
        <w:rPr>
          <w:rFonts w:ascii="宋体" w:hAnsi="宋体"/>
          <w:lang w:eastAsia="zh-CN"/>
        </w:rPr>
      </w:pPr>
      <w:r>
        <w:rPr>
          <w:rFonts w:hint="eastAsia" w:ascii="宋体" w:hAnsi="宋体" w:cs="Arial"/>
          <w:sz w:val="24"/>
          <w:highlight w:val="white"/>
          <w:lang w:eastAsia="zh-CN"/>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（三）基金托管人根据有关法律法规的规定及基金合同的约定，对本托管协议第十五条第九款基金投资禁止行为进行监督。基金托管人通过事后监督方式对基金管理人基金投资禁止行为进行监督。</w:t>
      </w:r>
    </w:p>
    <w:p>
      <w:pPr>
        <w:snapToGrid w:val="0"/>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pPr>
        <w:snapToGrid w:val="0"/>
        <w:spacing w:line="360" w:lineRule="auto"/>
        <w:ind w:firstLine="480" w:firstLineChars="200"/>
        <w:rPr>
          <w:rFonts w:ascii="宋体" w:hAnsi="宋体"/>
          <w:bCs/>
          <w:sz w:val="24"/>
          <w:lang w:eastAsia="zh-CN"/>
        </w:rPr>
      </w:pPr>
      <w:r>
        <w:rPr>
          <w:rFonts w:hint="eastAsia" w:ascii="宋体" w:hAnsi="宋体"/>
          <w:bCs/>
          <w:sz w:val="24"/>
          <w:highlight w:val="white"/>
          <w:lang w:eastAsia="zh-CN"/>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履行适当程序后可依据法律法规或监管部门规定直接对基金合同进行变更。</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基金管理人应严格按照交易对手名单的范围在银行间债券市场选择交易对手。基金托管人监督基金管理人是否按事前提供的银行间债券市场交易对手名单进行交易。</w:t>
      </w:r>
      <w:r>
        <w:rPr>
          <w:rFonts w:hint="eastAsia" w:ascii="宋体" w:hAnsi="宋体"/>
          <w:sz w:val="24"/>
          <w:highlight w:val="white"/>
          <w:lang w:eastAsia="zh-CN"/>
        </w:rPr>
        <w:t>如基金管理人在基金投资运作之前未向基金托管人提供银行间债券市场交易对手名单的，视为基金管理人认可全市场交易对手。基金管理人在银行间债券市场交易对手名单有更新时应及时发送给基金托管人</w:t>
      </w:r>
      <w:r>
        <w:rPr>
          <w:rFonts w:hint="eastAsia" w:ascii="宋体" w:hAnsi="宋体" w:cs="Arial"/>
          <w:sz w:val="24"/>
          <w:highlight w:val="white"/>
          <w:lang w:eastAsia="zh-CN"/>
        </w:rPr>
        <w:t>，新名单确定前已与本次剔除的交易对手所进行但尚未结算的交易，仍应按照协议进行结算。如因基金管理人未能及时提供相关信息导致托管人无法有效监督，托管人不承担责任。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基金管理人负责对交易对手的资信控制，按银行间债券市场的交易规则进行交易，并</w:t>
      </w:r>
      <w:r>
        <w:rPr>
          <w:rFonts w:hint="eastAsia" w:ascii="宋体" w:hAnsi="宋体"/>
          <w:sz w:val="24"/>
          <w:highlight w:val="white"/>
          <w:lang w:eastAsia="zh-CN"/>
        </w:rPr>
        <w:t>负责解决因交易对手不履行合同而造成的纠纷。</w:t>
      </w:r>
      <w:r>
        <w:rPr>
          <w:rFonts w:hint="eastAsia" w:ascii="宋体" w:hAnsi="宋体" w:cs="Arial"/>
          <w:sz w:val="24"/>
          <w:highlight w:val="white"/>
          <w:lang w:eastAsia="zh-CN"/>
        </w:rPr>
        <w:t>如基金托管人事后发现基金管理人没有按照事先约定的交易对手进行交易时，基金托管人应及时提醒基金管理人，基金托管人不承担由此造成的任何损失和责任。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（五）基金托管人根据有关法律法规的规定及基金合同的约定，对基金管理人投资流通受限证券进行监督。</w:t>
      </w:r>
    </w:p>
    <w:p>
      <w:pPr>
        <w:snapToGrid w:val="0"/>
        <w:spacing w:line="360" w:lineRule="auto"/>
        <w:ind w:firstLine="480" w:firstLineChars="200"/>
        <w:rPr>
          <w:rFonts w:ascii="宋体" w:hAnsi="宋体" w:cs="Arial"/>
          <w:sz w:val="24"/>
          <w:lang w:eastAsia="zh-CN"/>
        </w:rPr>
      </w:pPr>
      <w:r>
        <w:rPr>
          <w:rFonts w:hint="eastAsia" w:ascii="宋体" w:hAnsi="宋体"/>
          <w:sz w:val="24"/>
          <w:highlight w:val="white"/>
          <w:lang w:eastAsia="zh-CN"/>
        </w:rPr>
        <w:t>基金管理人投资流通受限证券，应事先根据中国证监会相关规定，明确基金投资流通受限证券的比例，</w:t>
      </w:r>
      <w:r>
        <w:rPr>
          <w:rFonts w:hint="eastAsia" w:ascii="宋体" w:hAnsi="宋体" w:cs="Arial"/>
          <w:sz w:val="24"/>
          <w:highlight w:val="white"/>
          <w:lang w:eastAsia="zh-CN"/>
        </w:rPr>
        <w:t>制订严格的投资决策流程和风险控制制度，防范流动性风险、法律风险和操作风险等各种风险。基金托管人对基金管理人是否遵守相关制度、流动性风险处置预案以及相关投资额度和比例等的情况进行监督。</w:t>
      </w:r>
      <w:r>
        <w:rPr>
          <w:rFonts w:hint="eastAsia" w:ascii="宋体" w:hAnsi="宋体"/>
          <w:sz w:val="24"/>
          <w:highlight w:val="white"/>
          <w:lang w:eastAsia="zh-CN"/>
        </w:rPr>
        <w:t>首次投资流通受限证券前，基金管理人应与基金托管人就流通受限证券投资签订风险控制补充协议。</w:t>
      </w:r>
    </w:p>
    <w:p>
      <w:pPr>
        <w:numPr>
          <w:ilvl w:val="0"/>
          <w:numId w:val="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本基金投资的流通受限证券与上文所述的流动性受限资产范围并不完全一致，须为经中国证监会批准的在发行时明确一定期限锁定期的可交易证券，不包括由于发布重大消息或其他原因而临时停牌的证券、已发行未上市证券、回购交易中的质押券等流通受限证券。本基金不投资有锁定期但锁定期不明确的证券。</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本基金</w:t>
      </w:r>
      <w:r>
        <w:rPr>
          <w:rFonts w:hint="eastAsia" w:ascii="宋体" w:hAnsi="宋体"/>
          <w:sz w:val="24"/>
          <w:highlight w:val="white"/>
          <w:lang w:eastAsia="zh-CN"/>
        </w:rPr>
        <w:t>投资的</w:t>
      </w:r>
      <w:r>
        <w:rPr>
          <w:rFonts w:hint="eastAsia" w:ascii="宋体" w:hAnsi="宋体" w:cs="Arial"/>
          <w:sz w:val="24"/>
          <w:highlight w:val="white"/>
          <w:lang w:eastAsia="zh-CN"/>
        </w:rPr>
        <w:t>流通</w:t>
      </w:r>
      <w:r>
        <w:rPr>
          <w:rFonts w:hint="eastAsia" w:ascii="宋体" w:hAnsi="宋体"/>
          <w:sz w:val="24"/>
          <w:highlight w:val="white"/>
          <w:lang w:eastAsia="zh-CN"/>
        </w:rPr>
        <w:t>受限证券限于可由中国证券登记结算有限责任公司或中央国债登记结算有限责任公司、银行间清算所股份有限公司负责登记和存管，并可在证券交易所或全国银行间债券市场交易的证券。</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本基金</w:t>
      </w:r>
      <w:r>
        <w:rPr>
          <w:rFonts w:hint="eastAsia" w:ascii="宋体" w:hAnsi="宋体"/>
          <w:sz w:val="24"/>
          <w:highlight w:val="white"/>
          <w:lang w:eastAsia="zh-CN"/>
        </w:rPr>
        <w:t>投资的</w:t>
      </w:r>
      <w:r>
        <w:rPr>
          <w:rFonts w:hint="eastAsia" w:ascii="宋体" w:hAnsi="宋体" w:cs="Arial"/>
          <w:sz w:val="24"/>
          <w:highlight w:val="white"/>
          <w:lang w:eastAsia="zh-CN"/>
        </w:rPr>
        <w:t>流通</w:t>
      </w:r>
      <w:r>
        <w:rPr>
          <w:rFonts w:hint="eastAsia" w:ascii="宋体" w:hAnsi="宋体"/>
          <w:sz w:val="24"/>
          <w:highlight w:val="white"/>
          <w:lang w:eastAsia="zh-CN"/>
        </w:rPr>
        <w:t>受限证券应保证登记存管在本基金名下，基金管理人负责相关工作的落实和协调，并确保基金托管人能够正常查询。因基金管理人原因产生的</w:t>
      </w:r>
      <w:r>
        <w:rPr>
          <w:rFonts w:hint="eastAsia" w:ascii="宋体" w:hAnsi="宋体" w:cs="Arial"/>
          <w:sz w:val="24"/>
          <w:highlight w:val="white"/>
          <w:lang w:eastAsia="zh-CN"/>
        </w:rPr>
        <w:t>流通</w:t>
      </w:r>
      <w:r>
        <w:rPr>
          <w:rFonts w:hint="eastAsia" w:ascii="宋体" w:hAnsi="宋体"/>
          <w:sz w:val="24"/>
          <w:highlight w:val="white"/>
          <w:lang w:eastAsia="zh-CN"/>
        </w:rPr>
        <w:t>受限证券登记存管问题，造成基金托管人无法安全保管本基金资产的责任与损失，及因</w:t>
      </w:r>
      <w:r>
        <w:rPr>
          <w:rFonts w:hint="eastAsia" w:ascii="宋体" w:hAnsi="宋体" w:cs="Arial"/>
          <w:sz w:val="24"/>
          <w:highlight w:val="white"/>
          <w:lang w:eastAsia="zh-CN"/>
        </w:rPr>
        <w:t>流通</w:t>
      </w:r>
      <w:r>
        <w:rPr>
          <w:rFonts w:hint="eastAsia" w:ascii="宋体" w:hAnsi="宋体"/>
          <w:sz w:val="24"/>
          <w:highlight w:val="white"/>
          <w:lang w:eastAsia="zh-CN"/>
        </w:rPr>
        <w:t>受限证券存管直接影响本基金安全的责任及损失，由基金管理人承担。</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本基金</w:t>
      </w:r>
      <w:r>
        <w:rPr>
          <w:rFonts w:hint="eastAsia" w:ascii="宋体" w:hAnsi="宋体"/>
          <w:sz w:val="24"/>
          <w:highlight w:val="white"/>
          <w:lang w:eastAsia="zh-CN"/>
        </w:rPr>
        <w:t>投资</w:t>
      </w:r>
      <w:r>
        <w:rPr>
          <w:rFonts w:hint="eastAsia" w:ascii="宋体" w:hAnsi="宋体" w:cs="Arial"/>
          <w:sz w:val="24"/>
          <w:highlight w:val="white"/>
          <w:lang w:eastAsia="zh-CN"/>
        </w:rPr>
        <w:t>流通</w:t>
      </w:r>
      <w:r>
        <w:rPr>
          <w:rFonts w:hint="eastAsia" w:ascii="宋体" w:hAnsi="宋体"/>
          <w:sz w:val="24"/>
          <w:highlight w:val="white"/>
          <w:lang w:eastAsia="zh-CN"/>
        </w:rPr>
        <w:t>受限证券，不得预付任何形式的保证金。</w:t>
      </w:r>
    </w:p>
    <w:p>
      <w:pPr>
        <w:numPr>
          <w:ilvl w:val="0"/>
          <w:numId w:val="2"/>
        </w:numPr>
        <w:snapToGrid w:val="0"/>
        <w:spacing w:line="360" w:lineRule="auto"/>
        <w:ind w:left="0" w:firstLine="480"/>
        <w:rPr>
          <w:rFonts w:ascii="宋体" w:hAnsi="宋体"/>
          <w:sz w:val="24"/>
          <w:lang w:eastAsia="zh-CN"/>
        </w:rPr>
      </w:pPr>
      <w:r>
        <w:rPr>
          <w:rFonts w:hint="eastAsia" w:ascii="宋体" w:hAnsi="宋体"/>
          <w:sz w:val="24"/>
          <w:highlight w:val="white"/>
          <w:lang w:eastAsia="zh-CN"/>
        </w:rPr>
        <w:t>基金管理人对本基金投资</w:t>
      </w:r>
      <w:r>
        <w:rPr>
          <w:rFonts w:hint="eastAsia" w:ascii="宋体" w:hAnsi="宋体" w:cs="Arial"/>
          <w:sz w:val="24"/>
          <w:highlight w:val="white"/>
          <w:lang w:eastAsia="zh-CN"/>
        </w:rPr>
        <w:t>流通</w:t>
      </w:r>
      <w:r>
        <w:rPr>
          <w:rFonts w:hint="eastAsia" w:ascii="宋体" w:hAnsi="宋体"/>
          <w:sz w:val="24"/>
          <w:highlight w:val="white"/>
          <w:lang w:eastAsia="zh-CN"/>
        </w:rPr>
        <w:t>受限证券的流动性风险负责。</w:t>
      </w:r>
    </w:p>
    <w:p>
      <w:pPr>
        <w:numPr>
          <w:ilvl w:val="0"/>
          <w:numId w:val="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基金托管人根据有关规定有权对基金管理人进行以下事项监督：</w:t>
      </w:r>
    </w:p>
    <w:p>
      <w:pPr>
        <w:numPr>
          <w:ilvl w:val="0"/>
          <w:numId w:val="3"/>
        </w:numPr>
        <w:snapToGrid w:val="0"/>
        <w:spacing w:line="360" w:lineRule="auto"/>
        <w:ind w:left="0" w:firstLine="480"/>
        <w:rPr>
          <w:rFonts w:ascii="宋体" w:hAnsi="宋体"/>
          <w:sz w:val="24"/>
          <w:lang w:eastAsia="zh-CN"/>
        </w:rPr>
      </w:pPr>
      <w:r>
        <w:rPr>
          <w:rFonts w:hint="eastAsia" w:ascii="宋体" w:hAnsi="宋体"/>
          <w:sz w:val="24"/>
          <w:highlight w:val="white"/>
          <w:lang w:eastAsia="zh-CN"/>
        </w:rPr>
        <w:t>本基金投资</w:t>
      </w:r>
      <w:r>
        <w:rPr>
          <w:rFonts w:hint="eastAsia" w:ascii="宋体" w:hAnsi="宋体" w:cs="Arial"/>
          <w:sz w:val="24"/>
          <w:highlight w:val="white"/>
          <w:lang w:eastAsia="zh-CN"/>
        </w:rPr>
        <w:t>流通</w:t>
      </w:r>
      <w:r>
        <w:rPr>
          <w:rFonts w:hint="eastAsia" w:ascii="宋体" w:hAnsi="宋体"/>
          <w:sz w:val="24"/>
          <w:highlight w:val="white"/>
          <w:lang w:eastAsia="zh-CN"/>
        </w:rPr>
        <w:t>受限证券时的法律法规遵守情况。</w:t>
      </w:r>
    </w:p>
    <w:p>
      <w:pPr>
        <w:numPr>
          <w:ilvl w:val="0"/>
          <w:numId w:val="3"/>
        </w:numPr>
        <w:snapToGrid w:val="0"/>
        <w:spacing w:line="360" w:lineRule="auto"/>
        <w:ind w:left="0" w:firstLine="480"/>
        <w:rPr>
          <w:rFonts w:ascii="宋体" w:hAnsi="宋体"/>
          <w:sz w:val="24"/>
          <w:lang w:eastAsia="zh-CN"/>
        </w:rPr>
      </w:pPr>
      <w:r>
        <w:rPr>
          <w:rFonts w:hint="eastAsia" w:ascii="宋体" w:hAnsi="宋体"/>
          <w:sz w:val="24"/>
          <w:highlight w:val="white"/>
          <w:lang w:eastAsia="zh-CN"/>
        </w:rPr>
        <w:t>在基金投资</w:t>
      </w:r>
      <w:r>
        <w:rPr>
          <w:rFonts w:hint="eastAsia" w:ascii="宋体" w:hAnsi="宋体" w:cs="Arial"/>
          <w:sz w:val="24"/>
          <w:highlight w:val="white"/>
          <w:lang w:eastAsia="zh-CN"/>
        </w:rPr>
        <w:t>流通</w:t>
      </w:r>
      <w:r>
        <w:rPr>
          <w:rFonts w:hint="eastAsia" w:ascii="宋体" w:hAnsi="宋体"/>
          <w:sz w:val="24"/>
          <w:highlight w:val="white"/>
          <w:lang w:eastAsia="zh-CN"/>
        </w:rPr>
        <w:t>受限证券管理工作方面有关制度、流动性风险处置预案的建立与完善情况。</w:t>
      </w:r>
    </w:p>
    <w:p>
      <w:pPr>
        <w:numPr>
          <w:ilvl w:val="0"/>
          <w:numId w:val="3"/>
        </w:numPr>
        <w:snapToGrid w:val="0"/>
        <w:spacing w:line="360" w:lineRule="auto"/>
        <w:ind w:left="0" w:firstLine="480"/>
        <w:rPr>
          <w:rFonts w:ascii="宋体" w:hAnsi="宋体"/>
          <w:sz w:val="24"/>
          <w:lang w:eastAsia="zh-CN"/>
        </w:rPr>
      </w:pPr>
      <w:r>
        <w:rPr>
          <w:rFonts w:hint="eastAsia" w:ascii="宋体" w:hAnsi="宋体"/>
          <w:sz w:val="24"/>
          <w:highlight w:val="white"/>
          <w:lang w:eastAsia="zh-CN"/>
        </w:rPr>
        <w:t>有关比例限制的执行情况。</w:t>
      </w:r>
    </w:p>
    <w:p>
      <w:pPr>
        <w:numPr>
          <w:ilvl w:val="0"/>
          <w:numId w:val="3"/>
        </w:numPr>
        <w:snapToGrid w:val="0"/>
        <w:spacing w:line="360" w:lineRule="auto"/>
        <w:ind w:left="0" w:firstLine="480"/>
        <w:rPr>
          <w:rFonts w:ascii="宋体" w:hAnsi="宋体"/>
          <w:sz w:val="24"/>
        </w:rPr>
      </w:pPr>
      <w:r>
        <w:rPr>
          <w:rFonts w:hint="eastAsia" w:ascii="宋体" w:hAnsi="宋体"/>
          <w:sz w:val="24"/>
          <w:highlight w:val="white"/>
        </w:rPr>
        <w:t>信息披露情况。</w:t>
      </w:r>
    </w:p>
    <w:p>
      <w:pPr>
        <w:numPr>
          <w:ilvl w:val="0"/>
          <w:numId w:val="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相关法律法规对基金投资流通受限证券有新规定的，从其规定。</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（六）</w:t>
      </w:r>
      <w:r>
        <w:rPr>
          <w:rFonts w:hint="eastAsia" w:ascii="宋体" w:hAnsi="宋体"/>
          <w:sz w:val="24"/>
          <w:highlight w:val="white"/>
          <w:lang w:eastAsia="zh-CN"/>
        </w:rPr>
        <w:t>基金如投资银行存款，基金托管人根据有关法律法规的规定及基金合同的约定，对基金投资银行存款的交易对手范围是否符合有关规定进行监督；基金管理人在签署银行存款协议前，应将草拟的银行存款协议送基金托管人审核。</w:t>
      </w:r>
      <w:r>
        <w:rPr>
          <w:rFonts w:hint="eastAsia" w:ascii="宋体" w:hAnsi="宋体" w:cs="Arial"/>
          <w:sz w:val="24"/>
          <w:highlight w:val="white"/>
          <w:lang w:eastAsia="zh-CN"/>
        </w:rPr>
        <w:t>如基金托管人事后发现基金管理人没有按照事先约定的交易对手进行交易时，基金托管人应及时提醒基金管理人，基金托管人不承担由此造成的任何损失和责任。如因基金管理人未能及时提供相关信息导致托管人无法有效监督，托管人不承担责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七）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八）基金托管人发现基金管理人的上述事项及投资指令或实际投资运作违反法律法规、基金合同和本托管协议的规定，应及时以电话提醒或书面提示等方式通知基金管理人限期纠正，并及时向中国证监会报告。基金管理人应积极配合和协助基金托管人的监督和核查。基金管理人收到书面通知后及时核对并以书面形式给基金托管人发出回函，就基金托管人的疑义进行解释或举证，说明违规原因及纠正期限，并保证在规定期限内及时改正。基金管理人指定专人接收托管人的通知和提示。在上述规定期限内，基金托管人有权随时对通知事项进行复查，督促基金管理人改正。基金管理人对基金托管人通知的违规事项未能在限期内纠正的，基金托管人应报告中国证监会（如需）。</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九）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十）若基金托管人发现基金管理人依据交易程序已经生效的指令违反法律、行政法规和其他有关规定，或者违反基金合同约定的，应当立即通知基金管理人，由此造成的损失由基金管理人承担，并及时向中国证监会报告。</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十一）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pPr>
        <w:pStyle w:val="2"/>
        <w:numPr>
          <w:ilvl w:val="0"/>
          <w:numId w:val="1"/>
        </w:numPr>
        <w:spacing w:line="360" w:lineRule="auto"/>
        <w:jc w:val="center"/>
        <w:rPr>
          <w:rFonts w:ascii="宋体" w:hAnsi="宋体"/>
          <w:sz w:val="28"/>
          <w:szCs w:val="28"/>
          <w:lang w:eastAsia="zh-CN"/>
        </w:rPr>
      </w:pPr>
      <w:r>
        <w:rPr>
          <w:rFonts w:ascii="宋体" w:hAnsi="宋体"/>
          <w:sz w:val="24"/>
          <w:szCs w:val="24"/>
          <w:highlight w:val="white"/>
          <w:lang w:eastAsia="zh-CN"/>
        </w:rPr>
        <w:br w:type="page"/>
      </w:r>
      <w:bookmarkStart w:id="40" w:name="_Toc295833000"/>
      <w:bookmarkEnd w:id="40"/>
      <w:bookmarkStart w:id="41" w:name="_Toc295832633"/>
      <w:bookmarkEnd w:id="41"/>
      <w:bookmarkStart w:id="42" w:name="_Toc295832940"/>
      <w:bookmarkEnd w:id="42"/>
      <w:bookmarkStart w:id="43" w:name="_Toc295833671"/>
      <w:bookmarkEnd w:id="43"/>
      <w:bookmarkStart w:id="44" w:name="_Toc124325888"/>
      <w:bookmarkStart w:id="45" w:name="_Toc110761796"/>
      <w:bookmarkStart w:id="46" w:name="_Toc86726439"/>
      <w:bookmarkStart w:id="47" w:name="_Toc118774803"/>
      <w:bookmarkStart w:id="48" w:name="_Toc86649722"/>
      <w:bookmarkStart w:id="49" w:name="_Toc108512358"/>
      <w:bookmarkStart w:id="50" w:name="_Toc86737929"/>
      <w:bookmarkStart w:id="51" w:name="_Toc450839470"/>
      <w:bookmarkStart w:id="52" w:name="_Toc119402710"/>
      <w:bookmarkStart w:id="53" w:name="_Toc86727355"/>
      <w:bookmarkStart w:id="54" w:name="_Toc118212950"/>
      <w:bookmarkStart w:id="55" w:name="_Toc89163368"/>
      <w:bookmarkStart w:id="56" w:name="_Toc118972648"/>
      <w:bookmarkStart w:id="57" w:name="_Toc110830492"/>
      <w:bookmarkStart w:id="58" w:name="_Toc110765660"/>
      <w:bookmarkStart w:id="59" w:name="_Toc86225291"/>
      <w:bookmarkStart w:id="60" w:name="_Toc270669855"/>
      <w:bookmarkStart w:id="61" w:name="_Toc86223242"/>
      <w:bookmarkStart w:id="62" w:name="_Toc120435783"/>
      <w:r>
        <w:rPr>
          <w:rFonts w:hint="eastAsia" w:ascii="宋体" w:hAnsi="宋体"/>
          <w:sz w:val="28"/>
          <w:szCs w:val="28"/>
          <w:highlight w:val="white"/>
          <w:lang w:eastAsia="zh-CN"/>
        </w:rPr>
        <w:t>基金管理人对基金托管人的业务核查</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一）基金管理人对基金托管人履行托管职责情况进行核查，核查事项包括基金托管人安全保管基金财产、开设基金财产的资金账户、证券账户等投资所需账户、复核基金管理人计算的基金资产净值、基金份额净值、根据基金管理人指令办理清算交收、相关信息披露和监督基金投资运作等行为。</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四）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pPr>
        <w:pStyle w:val="2"/>
        <w:numPr>
          <w:ilvl w:val="0"/>
          <w:numId w:val="1"/>
        </w:numPr>
        <w:spacing w:line="360" w:lineRule="auto"/>
        <w:jc w:val="center"/>
        <w:rPr>
          <w:rFonts w:ascii="宋体" w:hAnsi="宋体"/>
          <w:sz w:val="28"/>
          <w:szCs w:val="28"/>
        </w:rPr>
      </w:pPr>
      <w:r>
        <w:rPr>
          <w:rFonts w:ascii="宋体" w:hAnsi="宋体"/>
          <w:sz w:val="24"/>
          <w:szCs w:val="24"/>
          <w:highlight w:val="white"/>
          <w:lang w:eastAsia="zh-CN"/>
        </w:rPr>
        <w:br w:type="page"/>
      </w:r>
      <w:bookmarkStart w:id="63" w:name="_Toc295833673"/>
      <w:bookmarkEnd w:id="63"/>
      <w:bookmarkStart w:id="64" w:name="_Toc295832635"/>
      <w:bookmarkEnd w:id="64"/>
      <w:bookmarkStart w:id="65" w:name="_Toc295832942"/>
      <w:bookmarkEnd w:id="65"/>
      <w:bookmarkStart w:id="66" w:name="_Toc295833002"/>
      <w:bookmarkEnd w:id="66"/>
      <w:bookmarkStart w:id="67" w:name="_Toc84133786"/>
      <w:bookmarkStart w:id="68" w:name="_Toc118774804"/>
      <w:bookmarkStart w:id="69" w:name="_Toc118212951"/>
      <w:bookmarkStart w:id="70" w:name="_Toc119402711"/>
      <w:bookmarkStart w:id="71" w:name="_Toc118972649"/>
      <w:bookmarkStart w:id="72" w:name="_Toc86649723"/>
      <w:bookmarkStart w:id="73" w:name="_Toc86204789"/>
      <w:bookmarkStart w:id="74" w:name="_Toc108512359"/>
      <w:bookmarkStart w:id="75" w:name="_Toc86737930"/>
      <w:bookmarkStart w:id="76" w:name="_Toc86727356"/>
      <w:bookmarkStart w:id="77" w:name="_Toc270669856"/>
      <w:bookmarkStart w:id="78" w:name="_Toc84234435"/>
      <w:bookmarkStart w:id="79" w:name="_Toc89163369"/>
      <w:bookmarkStart w:id="80" w:name="_Toc86726440"/>
      <w:bookmarkStart w:id="81" w:name="_Toc110765661"/>
      <w:bookmarkStart w:id="82" w:name="_Toc84234388"/>
      <w:bookmarkStart w:id="83" w:name="_Toc450839471"/>
      <w:bookmarkStart w:id="84" w:name="_Toc86225292"/>
      <w:bookmarkStart w:id="85" w:name="_Toc124325889"/>
      <w:bookmarkStart w:id="86" w:name="_Toc110761797"/>
      <w:bookmarkStart w:id="87" w:name="_Toc120435784"/>
      <w:bookmarkStart w:id="88" w:name="_Toc86223243"/>
      <w:bookmarkStart w:id="89" w:name="_Toc110830493"/>
      <w:r>
        <w:rPr>
          <w:rFonts w:hint="eastAsia" w:ascii="宋体" w:hAnsi="宋体"/>
          <w:sz w:val="28"/>
          <w:szCs w:val="28"/>
          <w:highlight w:val="white"/>
        </w:rPr>
        <w:t>基金财产的保管</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（一）基金财产保管的原则</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财产应独立于基金管理人、基金托管人、证券经纪机构的固有财产。基金财产的债权、不得与基金管理人、基金托管人固有财产的债务相抵销，不同基金财产的债权债务，不得相互抵销。基金管理人、基金托管人以其自有资产承担法律责任，其债权人不得对基金财产行使请求冻结、扣押和其他权利。</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基金管理人、基金托管人因依法解散、被依法撤销或者被依法宣告破产等原因进行清算的，基金财产不属于其清算财产。</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基金托管人应安全保管基金财产。未经基金管理人依据合法程序作出的合法合规指令，基金托管人不得自行运用、处分、分配基金的任何财产。非因基金财产本身承担的债务，不得对基金财产强制执行。</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基金托管人按照规定开设基金财产的资金账户、证券账户等投资需要的账户。</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基金托管人对所托管的不同基金财产分别设置账户，独立核算，分账管理，确保基金财产的完整与独立。</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基金托管人根据基金管理人的指令，按照基金合同和本协议的约定保管基金财产，如有特殊情况双方可另行协商解决。</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对于因为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pPr>
        <w:numPr>
          <w:ilvl w:val="1"/>
          <w:numId w:val="1"/>
        </w:numPr>
        <w:tabs>
          <w:tab w:val="left" w:pos="567"/>
          <w:tab w:val="clear" w:pos="840"/>
        </w:tabs>
        <w:snapToGrid w:val="0"/>
        <w:spacing w:line="360" w:lineRule="auto"/>
        <w:ind w:left="0" w:firstLine="420"/>
        <w:rPr>
          <w:rFonts w:ascii="宋体" w:hAnsi="宋体" w:cs="Arial"/>
          <w:sz w:val="24"/>
          <w:lang w:eastAsia="zh-CN"/>
        </w:rPr>
      </w:pPr>
      <w:r>
        <w:rPr>
          <w:rFonts w:hint="eastAsia" w:ascii="宋体" w:hAnsi="宋体" w:cs="Arial"/>
          <w:sz w:val="24"/>
          <w:highlight w:val="white"/>
          <w:lang w:eastAsia="zh-CN"/>
        </w:rPr>
        <w:t>除依据法律法规和基金合同的规定外，基金托管人不得委托第三人托管基金财产。</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（二）基金募集期间及募集资金的验资</w:t>
      </w:r>
    </w:p>
    <w:p>
      <w:pPr>
        <w:numPr>
          <w:ilvl w:val="0"/>
          <w:numId w:val="4"/>
        </w:numPr>
        <w:snapToGrid w:val="0"/>
        <w:spacing w:line="360" w:lineRule="auto"/>
        <w:ind w:left="0" w:firstLine="426"/>
        <w:rPr>
          <w:rFonts w:ascii="宋体" w:hAnsi="宋体" w:cs="Arial"/>
          <w:sz w:val="24"/>
          <w:lang w:eastAsia="zh-CN"/>
        </w:rPr>
      </w:pPr>
      <w:r>
        <w:rPr>
          <w:rFonts w:ascii="宋体" w:hAnsi="宋体" w:cs="Arial"/>
          <w:sz w:val="24"/>
          <w:highlight w:val="white"/>
          <w:lang w:eastAsia="zh-CN"/>
        </w:rPr>
        <w:t>基金募集期间的资金应存于基金</w:t>
      </w:r>
      <w:r>
        <w:rPr>
          <w:rFonts w:hint="eastAsia" w:ascii="宋体" w:hAnsi="宋体" w:cs="Arial"/>
          <w:sz w:val="24"/>
          <w:highlight w:val="white"/>
          <w:lang w:eastAsia="zh-CN"/>
        </w:rPr>
        <w:t>认购专户。</w:t>
      </w:r>
    </w:p>
    <w:p>
      <w:pPr>
        <w:numPr>
          <w:ilvl w:val="0"/>
          <w:numId w:val="4"/>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募集期满或基金停止募集时，募集的基金份额总额、基金募集金额（含募集的股票市值）、基金份额持有人人数符合《基金法》、《运作办法》等有关规定后，属于基金财产的全部资金划入基金托管人为本基金开立的基金银行账户，同时在规定时间内，聘请符合《证券法》规定的会计师事务所进行验资，出具验资报告。出具的验资报告由参加验资的2名或2名以上中国注册会计师签字并加盖会计师事务所公章方为有效。</w:t>
      </w:r>
    </w:p>
    <w:p>
      <w:pPr>
        <w:numPr>
          <w:ilvl w:val="0"/>
          <w:numId w:val="4"/>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若基金募集期限届满</w:t>
      </w:r>
      <w:r>
        <w:rPr>
          <w:rFonts w:hint="eastAsia" w:ascii="宋体" w:hAnsi="宋体"/>
          <w:sz w:val="24"/>
          <w:highlight w:val="white"/>
          <w:lang w:eastAsia="zh-CN"/>
        </w:rPr>
        <w:t>或基金停止募集时</w:t>
      </w:r>
      <w:r>
        <w:rPr>
          <w:rFonts w:hint="eastAsia" w:ascii="宋体" w:hAnsi="宋体" w:cs="Arial"/>
          <w:sz w:val="24"/>
          <w:highlight w:val="white"/>
          <w:lang w:eastAsia="zh-CN"/>
        </w:rPr>
        <w:t>，未能达到基金合同生效的条件，由基金管理人按规定办理退款等事宜，基金托管人应提供充分协助。</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（三）基金银行账户的开立和管理</w:t>
      </w:r>
    </w:p>
    <w:p>
      <w:pPr>
        <w:numPr>
          <w:ilvl w:val="0"/>
          <w:numId w:val="5"/>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基金托管人应负责本基金的银行账户的开设和管理。</w:t>
      </w:r>
    </w:p>
    <w:p>
      <w:pPr>
        <w:numPr>
          <w:ilvl w:val="0"/>
          <w:numId w:val="5"/>
        </w:numPr>
        <w:snapToGrid w:val="0"/>
        <w:spacing w:line="360" w:lineRule="auto"/>
        <w:ind w:left="0" w:firstLine="426"/>
        <w:rPr>
          <w:rFonts w:ascii="宋体" w:hAnsi="宋体" w:cs="Arial"/>
          <w:sz w:val="24"/>
        </w:rPr>
      </w:pPr>
      <w:r>
        <w:rPr>
          <w:rFonts w:hint="eastAsia" w:ascii="宋体" w:hAnsi="宋体" w:cs="Arial"/>
          <w:sz w:val="24"/>
          <w:highlight w:val="white"/>
          <w:lang w:eastAsia="zh-CN"/>
        </w:rPr>
        <w:t>基金托管人应以本基金名义在其营业机构开立基金的银行账户，并根据基金管理人合法合规的指令办理资金收付。账户名称、账户预留印鉴以基金管理人向基金托管人出具的开户委托文件为准。</w:t>
      </w:r>
      <w:r>
        <w:rPr>
          <w:rFonts w:hint="eastAsia" w:ascii="宋体" w:hAnsi="宋体" w:cs="Arial"/>
          <w:sz w:val="24"/>
          <w:highlight w:val="white"/>
        </w:rPr>
        <w:t>该账户为不可通兑、不可提现账户。</w:t>
      </w:r>
    </w:p>
    <w:p>
      <w:pPr>
        <w:numPr>
          <w:ilvl w:val="0"/>
          <w:numId w:val="5"/>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基金银行账户的开立和使用，限于满足开展本基金业务的需要。基金托管人和基金管理人不得假借本基金的名义开立任何其他银行账户；亦不得使用基金的任何账户进行本基金业务以外的活动。</w:t>
      </w:r>
    </w:p>
    <w:p>
      <w:pPr>
        <w:numPr>
          <w:ilvl w:val="0"/>
          <w:numId w:val="5"/>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基金银行账户的开立和管理应符合银行保险监督管理机构的有关规定。</w:t>
      </w:r>
    </w:p>
    <w:p>
      <w:pPr>
        <w:numPr>
          <w:ilvl w:val="0"/>
          <w:numId w:val="5"/>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管理人在业务运作中应遵守监管部门及基金托管人对银行结算账户的相关规定，如因基金管理人原因造成保管账户无法使用，基金托管人不承担相关责任。基金管理人应依法履行客户身份识别义务，在开立托管账户时按照开户银行要求，就受益所有人识别等相关信息的核实提供必要的协助，并确保所提供信息以及证明材料的真实性、准确性。基金管理人应遵守反洗钱相关法律法规规定，相关业务背景及交易真实、合法，不涉及洗钱、恐怖融资、制裁违规、逃税或其他违法犯罪活动。</w:t>
      </w:r>
    </w:p>
    <w:p>
      <w:pPr>
        <w:numPr>
          <w:ilvl w:val="0"/>
          <w:numId w:val="5"/>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在符合法律法规规定的条件下，基金托管人可以通过基金托管人专用账户办理基金资产的支付。</w:t>
      </w:r>
    </w:p>
    <w:p>
      <w:pPr>
        <w:numPr>
          <w:ilvl w:val="0"/>
          <w:numId w:val="5"/>
        </w:numPr>
        <w:spacing w:line="360" w:lineRule="auto"/>
        <w:ind w:left="0" w:firstLine="426"/>
        <w:rPr>
          <w:rFonts w:ascii="宋体" w:hAnsi="宋体" w:cs="Arial"/>
          <w:sz w:val="24"/>
          <w:lang w:eastAsia="zh-CN"/>
        </w:rPr>
      </w:pPr>
      <w:r>
        <w:rPr>
          <w:rFonts w:hint="eastAsia" w:ascii="宋体" w:hAnsi="宋体" w:cs="Arial"/>
          <w:sz w:val="24"/>
          <w:highlight w:val="white"/>
          <w:lang w:eastAsia="zh-CN"/>
        </w:rPr>
        <w:t>基金托管人因协助司法机关、行政机关或其他有权机关依法执行对托管账户或基金管理人在托管人开立的其他账户内资金执行查询、冻结、扣划，不视为基金托管人对本协议的违反，基金托管人不因此承担责任。</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（四）基金证券账户和证券交易</w:t>
      </w:r>
      <w:r>
        <w:rPr>
          <w:rFonts w:ascii="宋体" w:hAnsi="宋体" w:cs="Arial"/>
          <w:sz w:val="24"/>
          <w:highlight w:val="white"/>
          <w:lang w:eastAsia="zh-CN"/>
        </w:rPr>
        <w:t>资金账户</w:t>
      </w:r>
      <w:r>
        <w:rPr>
          <w:rFonts w:hint="eastAsia" w:ascii="宋体" w:hAnsi="宋体" w:cs="Arial"/>
          <w:sz w:val="24"/>
          <w:highlight w:val="white"/>
          <w:lang w:eastAsia="zh-CN"/>
        </w:rPr>
        <w:t>的开立和管理</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基金托管人在中国证券登记结算有限责任公司为本基金开立基金托管人与本基金联名的证券账户。</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基金证券账户的开立和使用，仅限于满足开展本基金业务的需要。基金托管人和基金管理人不得出借或未经对方书面同意擅自转让基金的任何证券账户，亦不得使用基金的任何账户进行本基金业务以外的活动。</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基金证券账户的开立由基金托管人负责，账户资产的管理和运用由基金管理人负责。</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管理人为基金财产在证券经纪机构开立证券交易资金账户，用于基金财产证券交易结算资金的存管、记载交易结算资金的变动明细以及场内证券交易清算，并与基金托管人开立的托管账户建立第三方存管关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托管人和基金管理人不得出借或转让证券账户、证券交易资金账户，亦不得使用证券账户或证券交易资金账户进行本基金业务以外的活动。本基金通过证券经纪机构进行的交易由证券经纪机构作为结算参与人代理本基金进行结算。</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基金管理人承诺证券交易资金账户为主资金账户，不开立任何辅助资金账户；不为证券交易资金账户另行开立银行托管账户以外的其他银行账户。</w:t>
      </w:r>
    </w:p>
    <w:p>
      <w:pPr>
        <w:numPr>
          <w:ilvl w:val="0"/>
          <w:numId w:val="6"/>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若中国证监会或其他监管机构在本托管协议订立日之后允许基金从事其他投资品种的投资业务，涉及相关账户的开立、使用的，若无相关规定，则基金托管人比照上述关于账户开立、使用的规定执行。</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（五）债券托管账户的开设和管理</w:t>
      </w:r>
    </w:p>
    <w:p>
      <w:pPr>
        <w:spacing w:line="360" w:lineRule="auto"/>
        <w:ind w:firstLine="480"/>
        <w:rPr>
          <w:rFonts w:ascii="宋体" w:hAnsi="宋体"/>
          <w:sz w:val="24"/>
          <w:lang w:eastAsia="zh-CN"/>
        </w:rPr>
      </w:pPr>
      <w:r>
        <w:rPr>
          <w:rFonts w:ascii="宋体" w:hAnsi="宋体"/>
          <w:sz w:val="24"/>
          <w:highlight w:val="white"/>
          <w:lang w:eastAsia="zh-CN"/>
        </w:rPr>
        <w:t>基金合同生效后，</w:t>
      </w:r>
      <w:r>
        <w:rPr>
          <w:rFonts w:hint="eastAsia" w:ascii="宋体" w:hAnsi="宋体"/>
          <w:sz w:val="24"/>
          <w:highlight w:val="white"/>
          <w:lang w:eastAsia="zh-CN"/>
        </w:rPr>
        <w:t>基金管理人代本基金向中国人民银行发起银行间债券市场准入备案，备案通过后，根据基金管理人申请，</w:t>
      </w:r>
      <w:r>
        <w:rPr>
          <w:rFonts w:ascii="宋体" w:hAnsi="宋体"/>
          <w:sz w:val="24"/>
          <w:highlight w:val="white"/>
          <w:lang w:eastAsia="zh-CN"/>
        </w:rPr>
        <w:t>基金托管人</w:t>
      </w:r>
      <w:r>
        <w:rPr>
          <w:rFonts w:hint="eastAsia" w:ascii="宋体" w:hAnsi="宋体"/>
          <w:sz w:val="24"/>
          <w:highlight w:val="white"/>
          <w:lang w:eastAsia="zh-CN"/>
        </w:rPr>
        <w:t>代本基金</w:t>
      </w:r>
      <w:r>
        <w:rPr>
          <w:rFonts w:ascii="宋体" w:hAnsi="宋体"/>
          <w:sz w:val="24"/>
          <w:highlight w:val="white"/>
          <w:lang w:eastAsia="zh-CN"/>
        </w:rPr>
        <w:t>根据中国人民银行、中央国债登记结算有限责任公司</w:t>
      </w:r>
      <w:r>
        <w:rPr>
          <w:rFonts w:hint="eastAsia" w:ascii="宋体" w:hAnsi="宋体"/>
          <w:sz w:val="24"/>
          <w:highlight w:val="white"/>
          <w:lang w:eastAsia="zh-CN"/>
        </w:rPr>
        <w:t>、银行间市场清算所股份有限公司</w:t>
      </w:r>
      <w:r>
        <w:rPr>
          <w:rFonts w:ascii="宋体" w:hAnsi="宋体"/>
          <w:sz w:val="24"/>
          <w:highlight w:val="white"/>
          <w:lang w:eastAsia="zh-CN"/>
        </w:rPr>
        <w:t>的有关规定，</w:t>
      </w:r>
      <w:r>
        <w:rPr>
          <w:rFonts w:hint="eastAsia" w:ascii="宋体" w:hAnsi="宋体"/>
          <w:sz w:val="24"/>
          <w:highlight w:val="white"/>
          <w:lang w:eastAsia="zh-CN"/>
        </w:rPr>
        <w:t>以本基金的名义</w:t>
      </w:r>
      <w:r>
        <w:rPr>
          <w:rFonts w:ascii="宋体" w:hAnsi="宋体"/>
          <w:sz w:val="24"/>
          <w:highlight w:val="white"/>
          <w:lang w:eastAsia="zh-CN"/>
        </w:rPr>
        <w:t>在中央国债登记结算有限责任公司</w:t>
      </w:r>
      <w:r>
        <w:rPr>
          <w:rFonts w:hint="eastAsia" w:ascii="宋体" w:hAnsi="宋体"/>
          <w:sz w:val="24"/>
          <w:highlight w:val="white"/>
          <w:lang w:eastAsia="zh-CN"/>
        </w:rPr>
        <w:t>、银行间市场清算所股份有限公司</w:t>
      </w:r>
      <w:r>
        <w:rPr>
          <w:rFonts w:ascii="宋体" w:hAnsi="宋体"/>
          <w:sz w:val="24"/>
          <w:highlight w:val="white"/>
          <w:lang w:eastAsia="zh-CN"/>
        </w:rPr>
        <w:t>开立债券托管与结算账户，并代表基金进行银行间市场债券的结算</w:t>
      </w:r>
      <w:r>
        <w:rPr>
          <w:rFonts w:hint="eastAsia" w:ascii="宋体" w:hAnsi="宋体"/>
          <w:sz w:val="24"/>
          <w:highlight w:val="white"/>
          <w:lang w:eastAsia="zh-CN"/>
        </w:rPr>
        <w:t>，基金管理人应在过程中给予必要的配合</w:t>
      </w:r>
      <w:r>
        <w:rPr>
          <w:rFonts w:ascii="宋体" w:hAnsi="宋体"/>
          <w:sz w:val="24"/>
          <w:highlight w:val="white"/>
          <w:lang w:eastAsia="zh-CN"/>
        </w:rPr>
        <w:t>。基金管理人代表</w:t>
      </w:r>
      <w:r>
        <w:rPr>
          <w:rFonts w:hint="eastAsia" w:ascii="宋体" w:hAnsi="宋体"/>
          <w:sz w:val="24"/>
          <w:highlight w:val="white"/>
          <w:lang w:eastAsia="zh-CN"/>
        </w:rPr>
        <w:t>本</w:t>
      </w:r>
      <w:r>
        <w:rPr>
          <w:rFonts w:ascii="宋体" w:hAnsi="宋体"/>
          <w:sz w:val="24"/>
          <w:highlight w:val="white"/>
          <w:lang w:eastAsia="zh-CN"/>
        </w:rPr>
        <w:t>基金签订全国银行间债券市场债券回购主协议。</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（六）定期存款账户的开设与管理</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投资定期存款需在存款机构开立银行账户，定期存款账户户名原则上应与托管账户或产品名称保持一致,该账户预留印鉴经与基金托管人商议后预留。基金管理人与存款机构签订定期存款协议，协议中涉及基金托管人相关职责的约定须由基金管理人和基金托管人双方协商一致后签署。该协议内容应至少包含起息日、到期日、存款金额、存款账户、存款利率、存款是否可以提前支取、定存到期支取账户、存款证实书如何交接以及存款证实书不得转让质押等条款，并将本基金托管账户指定为唯一回款账户。 </w:t>
      </w:r>
    </w:p>
    <w:p>
      <w:pPr>
        <w:snapToGrid w:val="0"/>
        <w:spacing w:line="360" w:lineRule="auto"/>
        <w:ind w:firstLine="480" w:firstLineChars="200"/>
        <w:rPr>
          <w:rFonts w:ascii="宋体" w:hAnsi="宋体" w:cs="Arial"/>
          <w:sz w:val="24"/>
          <w:lang w:eastAsia="zh-CN"/>
        </w:rPr>
      </w:pPr>
      <w:r>
        <w:rPr>
          <w:rFonts w:hint="eastAsia" w:ascii="宋体" w:hAnsi="宋体"/>
          <w:sz w:val="24"/>
          <w:highlight w:val="white"/>
          <w:lang w:eastAsia="zh-CN"/>
        </w:rPr>
        <w:t>（七）</w:t>
      </w:r>
      <w:r>
        <w:rPr>
          <w:rFonts w:hint="eastAsia" w:ascii="宋体" w:hAnsi="宋体" w:cs="Arial"/>
          <w:sz w:val="24"/>
          <w:highlight w:val="white"/>
          <w:lang w:eastAsia="zh-CN"/>
        </w:rPr>
        <w:t>其他账户的开立和管理</w:t>
      </w:r>
    </w:p>
    <w:p>
      <w:pPr>
        <w:numPr>
          <w:ilvl w:val="0"/>
          <w:numId w:val="7"/>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因业务发展需要而开立的其他账户，可以根据法律法规和基金合同的规定开立，在基金管理人和基金托管人商议后由基金托管人负责开立。新账户按有关规定使用并管理。</w:t>
      </w:r>
    </w:p>
    <w:p>
      <w:pPr>
        <w:numPr>
          <w:ilvl w:val="0"/>
          <w:numId w:val="7"/>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法律法规等有关规定对相关账户的开立和管理另有规定的，从其规定办理。</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（八）基金财产投资的有关有价凭证等的保管</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基金财产投资的有关实物证券</w:t>
      </w:r>
      <w:r>
        <w:rPr>
          <w:rFonts w:hint="eastAsia" w:ascii="宋体" w:hAnsi="宋体" w:cs="仿宋"/>
          <w:sz w:val="24"/>
          <w:highlight w:val="white"/>
          <w:lang w:eastAsia="zh-CN"/>
        </w:rPr>
        <w:t>、银行存款开户证实书</w:t>
      </w:r>
      <w:r>
        <w:rPr>
          <w:rFonts w:hint="eastAsia" w:ascii="宋体" w:hAnsi="宋体" w:cs="Arial"/>
          <w:sz w:val="24"/>
          <w:highlight w:val="white"/>
          <w:lang w:eastAsia="zh-CN"/>
        </w:rPr>
        <w:t>等有价凭证由基金托管人存放于基金托管人的保管库，也可存入中央国债登记结算有限责任公司、</w:t>
      </w:r>
      <w:r>
        <w:rPr>
          <w:rFonts w:hint="eastAsia" w:ascii="宋体" w:hAnsi="宋体"/>
          <w:sz w:val="24"/>
          <w:highlight w:val="white"/>
          <w:lang w:eastAsia="zh-CN"/>
        </w:rPr>
        <w:t>银行间市场清算所股份有限公司、</w:t>
      </w:r>
      <w:r>
        <w:rPr>
          <w:rFonts w:hint="eastAsia" w:ascii="宋体" w:hAnsi="宋体" w:cs="Arial"/>
          <w:sz w:val="24"/>
          <w:highlight w:val="white"/>
          <w:lang w:eastAsia="zh-CN"/>
        </w:rPr>
        <w:t>中国证券登记结算有限责任公司上海分公司/深圳分公司或票据营业中心的代保管库，保管凭证由基金托管人持有。实物证券</w:t>
      </w:r>
      <w:r>
        <w:rPr>
          <w:rFonts w:hint="eastAsia" w:ascii="宋体" w:hAnsi="宋体" w:cs="仿宋"/>
          <w:sz w:val="24"/>
          <w:highlight w:val="white"/>
          <w:lang w:eastAsia="zh-CN"/>
        </w:rPr>
        <w:t>、银行存款开户证实书</w:t>
      </w:r>
      <w:r>
        <w:rPr>
          <w:rFonts w:hint="eastAsia" w:ascii="宋体" w:hAnsi="宋体" w:cs="Arial"/>
          <w:sz w:val="24"/>
          <w:highlight w:val="white"/>
          <w:lang w:eastAsia="zh-CN"/>
        </w:rPr>
        <w:t>等有价凭证的购买和转让，由基金管理人和基金托管人共同办理。基金托管人对由基金托管人</w:t>
      </w:r>
      <w:r>
        <w:rPr>
          <w:rFonts w:hint="eastAsia" w:ascii="宋体" w:hAnsi="宋体" w:cs="仿宋"/>
          <w:sz w:val="24"/>
          <w:highlight w:val="white"/>
          <w:lang w:eastAsia="zh-CN"/>
        </w:rPr>
        <w:t>及基金托管人委托保管的机构</w:t>
      </w:r>
      <w:r>
        <w:rPr>
          <w:rFonts w:hint="eastAsia" w:ascii="宋体" w:hAnsi="宋体" w:cs="Arial"/>
          <w:sz w:val="24"/>
          <w:highlight w:val="white"/>
          <w:lang w:eastAsia="zh-CN"/>
        </w:rPr>
        <w:t>以外机构实际有效控制的证券不承担保管责任，但基金托管人应妥善保管凭证。</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（九）与基金财产有关的重大合同的保管</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重大合同的保管期限为基金合同终止后20年，法律法规或监管部门另有规定的，从其规定。</w:t>
      </w:r>
    </w:p>
    <w:p>
      <w:pPr>
        <w:pStyle w:val="2"/>
        <w:numPr>
          <w:ilvl w:val="0"/>
          <w:numId w:val="1"/>
        </w:numPr>
        <w:spacing w:line="360" w:lineRule="auto"/>
        <w:jc w:val="center"/>
        <w:rPr>
          <w:rFonts w:ascii="宋体" w:hAnsi="宋体"/>
          <w:sz w:val="28"/>
          <w:szCs w:val="28"/>
          <w:lang w:eastAsia="zh-CN"/>
        </w:rPr>
      </w:pPr>
      <w:bookmarkStart w:id="90" w:name="_Toc295833675"/>
      <w:bookmarkEnd w:id="90"/>
      <w:bookmarkStart w:id="91" w:name="_Toc295833677"/>
      <w:bookmarkEnd w:id="91"/>
      <w:bookmarkStart w:id="92" w:name="_Toc295833005"/>
      <w:bookmarkEnd w:id="92"/>
      <w:bookmarkStart w:id="93" w:name="_Toc295832946"/>
      <w:bookmarkEnd w:id="93"/>
      <w:bookmarkStart w:id="94" w:name="_Toc295833004"/>
      <w:bookmarkEnd w:id="94"/>
      <w:bookmarkStart w:id="95" w:name="_Toc295833676"/>
      <w:bookmarkEnd w:id="95"/>
      <w:bookmarkStart w:id="96" w:name="_Toc295832638"/>
      <w:bookmarkEnd w:id="96"/>
      <w:bookmarkStart w:id="97" w:name="_Toc295832945"/>
      <w:bookmarkEnd w:id="97"/>
      <w:bookmarkStart w:id="98" w:name="_Toc295833006"/>
      <w:bookmarkEnd w:id="98"/>
      <w:bookmarkStart w:id="99" w:name="_Toc295832639"/>
      <w:bookmarkEnd w:id="99"/>
      <w:bookmarkStart w:id="100" w:name="_Toc295832944"/>
      <w:bookmarkEnd w:id="100"/>
      <w:bookmarkStart w:id="101" w:name="_Toc295832637"/>
      <w:bookmarkEnd w:id="101"/>
      <w:r>
        <w:rPr>
          <w:rFonts w:ascii="宋体" w:hAnsi="宋体"/>
          <w:sz w:val="24"/>
          <w:szCs w:val="24"/>
          <w:highlight w:val="white"/>
          <w:lang w:eastAsia="zh-CN"/>
        </w:rPr>
        <w:br w:type="page"/>
      </w:r>
      <w:bookmarkStart w:id="102" w:name="_Toc295833678"/>
      <w:bookmarkEnd w:id="102"/>
      <w:bookmarkStart w:id="103" w:name="_Toc295832640"/>
      <w:bookmarkEnd w:id="103"/>
      <w:bookmarkStart w:id="104" w:name="_Toc295832947"/>
      <w:bookmarkEnd w:id="104"/>
      <w:bookmarkStart w:id="105" w:name="_Toc295833007"/>
      <w:bookmarkEnd w:id="105"/>
      <w:bookmarkStart w:id="106" w:name="_Toc84234389"/>
      <w:bookmarkStart w:id="107" w:name="_Toc86225293"/>
      <w:bookmarkStart w:id="108" w:name="_Toc120435785"/>
      <w:bookmarkStart w:id="109" w:name="_Toc110765662"/>
      <w:bookmarkStart w:id="110" w:name="_Toc450839472"/>
      <w:bookmarkStart w:id="111" w:name="_Toc89163370"/>
      <w:bookmarkStart w:id="112" w:name="_Toc270669857"/>
      <w:bookmarkStart w:id="113" w:name="_Toc86204790"/>
      <w:bookmarkStart w:id="114" w:name="_Toc86726441"/>
      <w:bookmarkStart w:id="115" w:name="_Toc84133787"/>
      <w:bookmarkStart w:id="116" w:name="_Toc110830494"/>
      <w:bookmarkStart w:id="117" w:name="_Toc108512360"/>
      <w:bookmarkStart w:id="118" w:name="_Toc110761798"/>
      <w:bookmarkStart w:id="119" w:name="_Toc86727357"/>
      <w:bookmarkStart w:id="120" w:name="_Toc86649724"/>
      <w:bookmarkStart w:id="121" w:name="_Toc84234436"/>
      <w:bookmarkStart w:id="122" w:name="_Toc86737931"/>
      <w:bookmarkStart w:id="123" w:name="_Toc119402712"/>
      <w:bookmarkStart w:id="124" w:name="_Toc118774805"/>
      <w:bookmarkStart w:id="125" w:name="_Toc124325890"/>
      <w:bookmarkStart w:id="126" w:name="_Toc118212952"/>
      <w:bookmarkStart w:id="127" w:name="_Toc118972650"/>
      <w:bookmarkStart w:id="128" w:name="_Toc86223244"/>
      <w:r>
        <w:rPr>
          <w:rFonts w:hint="eastAsia" w:ascii="宋体" w:hAnsi="宋体"/>
          <w:sz w:val="28"/>
          <w:szCs w:val="28"/>
          <w:highlight w:val="white"/>
          <w:lang w:eastAsia="zh-CN"/>
        </w:rPr>
        <w:t>指令的发送、确认及执行</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基金管理人在运用基金财产时向基金托管人发送</w:t>
      </w:r>
      <w:r>
        <w:rPr>
          <w:rFonts w:ascii="宋体" w:hAnsi="宋体" w:cs="Arial"/>
          <w:sz w:val="24"/>
          <w:highlight w:val="white"/>
          <w:lang w:eastAsia="zh-CN"/>
        </w:rPr>
        <w:t>场外</w:t>
      </w:r>
      <w:r>
        <w:rPr>
          <w:rFonts w:hint="eastAsia" w:ascii="宋体" w:hAnsi="宋体" w:cs="Arial"/>
          <w:sz w:val="24"/>
          <w:highlight w:val="white"/>
          <w:lang w:eastAsia="zh-CN"/>
        </w:rPr>
        <w:t>资金划拨及其他款项付款指令，基金托管人执行基金管理人的指令、办理基金名下的资金往来等有关事项。</w:t>
      </w:r>
    </w:p>
    <w:p>
      <w:pPr>
        <w:numPr>
          <w:ilvl w:val="0"/>
          <w:numId w:val="8"/>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基金管理人应指定专人向基金托管人发送指令。</w:t>
      </w:r>
    </w:p>
    <w:p>
      <w:pPr>
        <w:numPr>
          <w:ilvl w:val="0"/>
          <w:numId w:val="8"/>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管理人应于本基金成立前三个工作日内，向基金托管人提供预留印鉴和授权人签字样本，事先书面通知（以下称“授权通知”）基金托管人有权发送指令的人员名单，注明相应的交易权限，并规定基金管理人向基金托管人发送指令时基金托管人确认有权发送人员身份的方法，授权通知应加盖公章。</w:t>
      </w:r>
    </w:p>
    <w:p>
      <w:pPr>
        <w:numPr>
          <w:ilvl w:val="0"/>
          <w:numId w:val="8"/>
        </w:numPr>
        <w:snapToGrid w:val="0"/>
        <w:spacing w:line="360" w:lineRule="auto"/>
        <w:ind w:left="0" w:firstLine="426"/>
        <w:rPr>
          <w:rFonts w:ascii="宋体" w:hAnsi="宋体" w:cs="Arial"/>
          <w:sz w:val="24"/>
          <w:lang w:eastAsia="zh-CN"/>
        </w:rPr>
      </w:pPr>
      <w:r>
        <w:rPr>
          <w:rFonts w:hint="eastAsia" w:ascii="宋体" w:hAnsi="宋体" w:cs="Arial"/>
          <w:sz w:val="24"/>
          <w:highlight w:val="white"/>
          <w:lang w:eastAsia="zh-CN"/>
        </w:rPr>
        <w:t>基金管理人应将授权文件以电子邮件方式发送基金托管人，并及时与基金托管人进行电话确认，托管人确认收到授权文件后，需邮件回复确认。授权文件需载明具体生效时间，载明的具体生效时间不得早于电话确认时间，授权文件自载明日期生效。</w:t>
      </w:r>
    </w:p>
    <w:p>
      <w:pPr>
        <w:snapToGrid w:val="0"/>
        <w:spacing w:line="360" w:lineRule="auto"/>
        <w:ind w:firstLine="480" w:firstLineChars="200"/>
        <w:rPr>
          <w:rFonts w:ascii="宋体" w:hAnsi="宋体" w:cs="Arial"/>
          <w:sz w:val="24"/>
          <w:lang w:eastAsia="zh-CN"/>
        </w:rPr>
      </w:pPr>
      <w:r>
        <w:rPr>
          <w:rFonts w:hint="eastAsia" w:ascii="宋体" w:hAnsi="宋体" w:cs="宋体"/>
          <w:sz w:val="24"/>
          <w:highlight w:val="white"/>
          <w:lang w:eastAsia="zh-CN"/>
        </w:rPr>
        <w:t>基金管理人更改或终止对被授权人的授权，应及时将加盖基金管理人公章的新授权文件以托管网银、传真、电子邮件或其他双方书面认可的方式通知基金托管人，并及时与基金托管人进行电话确认。新的授权文件需载明具体生效时间，载明的具体生效时间不得早于电话确认时间，新的授权文件自载明日期生效，且原授权文件同时废止。</w:t>
      </w:r>
      <w:r>
        <w:rPr>
          <w:rFonts w:hint="eastAsia" w:ascii="宋体" w:hAnsi="宋体" w:cs="Arial"/>
          <w:sz w:val="24"/>
          <w:highlight w:val="white"/>
          <w:lang w:eastAsia="zh-CN"/>
        </w:rPr>
        <w:t>被授权人变更通知生效前，基金托管人仍应按原约定执行指令，基金管理人不得否认其效力。</w:t>
      </w:r>
      <w:r>
        <w:rPr>
          <w:rFonts w:hint="eastAsia" w:ascii="宋体" w:hAnsi="宋体" w:cs="宋体"/>
          <w:sz w:val="24"/>
          <w:highlight w:val="white"/>
          <w:lang w:eastAsia="zh-CN"/>
        </w:rPr>
        <w:t>基金管理人更换被授权人通知生效后，对于已被撤换的人员无权签署的划款指令，或被改变授权范围人员超权限签署的划款指令，基金托管人不予执行。</w:t>
      </w:r>
    </w:p>
    <w:p>
      <w:pPr>
        <w:numPr>
          <w:ilvl w:val="0"/>
          <w:numId w:val="8"/>
        </w:numPr>
        <w:snapToGrid w:val="0"/>
        <w:spacing w:line="360" w:lineRule="auto"/>
        <w:ind w:left="0" w:firstLine="426"/>
        <w:rPr>
          <w:rFonts w:ascii="宋体" w:hAnsi="宋体" w:cs="Arial"/>
          <w:sz w:val="24"/>
        </w:rPr>
      </w:pPr>
      <w:r>
        <w:rPr>
          <w:rFonts w:hint="eastAsia" w:ascii="宋体" w:hAnsi="宋体" w:cs="Arial"/>
          <w:sz w:val="24"/>
          <w:highlight w:val="white"/>
          <w:lang w:eastAsia="zh-CN"/>
        </w:rPr>
        <w:t>基金管理人应确保原件与基金托管人收到的文件一致，若不一致则以基金托管人收到的文件为准。基金管理人和基金托管人对授权文件负有保密义务，其内容不得向被授权人及相关操作人员以外的任何人泄露。</w:t>
      </w:r>
      <w:r>
        <w:rPr>
          <w:rFonts w:hint="eastAsia" w:ascii="宋体" w:hAnsi="宋体" w:cs="Arial"/>
          <w:sz w:val="24"/>
          <w:highlight w:val="white"/>
        </w:rPr>
        <w:t>但法律法规规定或有权机关要求的除外。</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（二）指令的内容</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1.</w:t>
      </w:r>
      <w:r>
        <w:rPr>
          <w:rFonts w:hint="eastAsia" w:ascii="宋体" w:hAnsi="宋体" w:cs="Arial"/>
          <w:sz w:val="24"/>
          <w:highlight w:val="white"/>
          <w:lang w:eastAsia="zh-CN"/>
        </w:rPr>
        <w:tab/>
      </w:r>
      <w:r>
        <w:rPr>
          <w:rFonts w:hint="eastAsia" w:ascii="宋体" w:hAnsi="宋体" w:cs="Arial"/>
          <w:sz w:val="24"/>
          <w:highlight w:val="white"/>
          <w:lang w:eastAsia="zh-CN"/>
        </w:rPr>
        <w:t>指令包括分红付款指令、其他款项的支付指令以及其他资金划拨指令等。</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2.</w:t>
      </w:r>
      <w:r>
        <w:rPr>
          <w:rFonts w:hint="eastAsia" w:ascii="宋体" w:hAnsi="宋体" w:cs="Arial"/>
          <w:sz w:val="24"/>
          <w:highlight w:val="white"/>
          <w:lang w:eastAsia="zh-CN"/>
        </w:rPr>
        <w:tab/>
      </w:r>
      <w:r>
        <w:rPr>
          <w:rFonts w:hint="eastAsia" w:ascii="宋体" w:hAnsi="宋体" w:cs="Arial"/>
          <w:sz w:val="24"/>
          <w:highlight w:val="white"/>
          <w:lang w:eastAsia="zh-CN"/>
        </w:rPr>
        <w:t>基金管理人发给基金托管人的指令应写明款项事由、支付时间、金额、收付款账户等，加盖预留印鉴。</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（三）指令的发送、确认及执行的时间和程序</w:t>
      </w:r>
    </w:p>
    <w:p>
      <w:pPr>
        <w:numPr>
          <w:ilvl w:val="0"/>
          <w:numId w:val="9"/>
        </w:numPr>
        <w:snapToGrid w:val="0"/>
        <w:spacing w:line="360" w:lineRule="auto"/>
        <w:rPr>
          <w:rFonts w:ascii="宋体" w:hAnsi="宋体" w:cs="Arial"/>
          <w:sz w:val="24"/>
        </w:rPr>
      </w:pPr>
      <w:r>
        <w:rPr>
          <w:rFonts w:hint="eastAsia" w:ascii="宋体" w:hAnsi="宋体" w:cs="Arial"/>
          <w:sz w:val="24"/>
          <w:highlight w:val="white"/>
        </w:rPr>
        <w:t>指令的发送</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基金管理人应按照有关法律法规规定和本协议的约定，在其合法的经营权限和交易权限内发送划款指令。被授权人应按照其授权权限签署划款指令，对于被授权人签署的划款指令，基金管理人不得否认其效力。</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划款指令以托管网银、传真、电子邮件或其他双方认可的方式向基金托管人发送。对于非电子指令发送的指令需要及时与基金托管人进行电话确认。对于因基金管理人未能及时与基金托管人进行划款指令确认，致使资金未能及时划拨所造成的损失基金托管人不承担。</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应按照法律法规和基金合同的规定，在其合法的经营权限和交易权限内发送指令；被授权人应严格按照其授权权限发送指令。对于被授权人依约定程序发出的指令，基金管理人不得否认其效力。但如果基金管理人已经撤销或更改对交易指令发送人员的授权，且上述授权的撤销或更改基金管理人已在指令执行前按照本协议约定通知基金托管人并经基金托管人根据本协议的约定方式或双方认可的方式确认后，则对于此后该交易指令发送人员无权发送的指令，或超权限发送的指令，基金管理人不承担责任，授权已更改但未经基金托管人确认的情况除外。</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基金托管人在复核后应在规定期限内执行，不得延误。</w:t>
      </w:r>
      <w:r>
        <w:rPr>
          <w:rFonts w:hint="eastAsia" w:ascii="宋体" w:hAnsi="宋体"/>
          <w:sz w:val="24"/>
          <w:highlight w:val="white"/>
          <w:lang w:eastAsia="zh-CN"/>
        </w:rPr>
        <w:t>基金托管人仅对基金管理人提交的指令按照本协议的约定进行表面一致性审查，基金托管人不负责审查基金管理人发送指令同时提交的其他文件资料的合法性、真实性、完整性和有效性，基金管理人应保证上述文件资料合法、真实、完整和有效。如因基金管理人提供的上述文件不合法、不真实、不完整或失去效力而影响基金托管人的审核或给任何第三人带来损失，基金托管人不承担任何形式的责任。</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应在进行银行间市场交易后及时将交易成交单（如需）或分销协议及时以托管网银、传真、电子邮件或其他双方认可的方式发送给基金托管人。如果银行间簿记系统已经生成的交易需要取消或终止，基金管理人应书面通知基金托管人。如双方已就取消发送银行间交易纸质成交单事宜另行签署授权委托书的，则按授权委托书的约定执行。</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基金管理人应于划款前一日向基金托管人发送投资划款指令并确认，如需在划款当日下达投资划款指令，在发送指令时，应为基金托管人留出执行指令所必需的时间，</w:t>
      </w:r>
      <w:r>
        <w:rPr>
          <w:rFonts w:hint="eastAsia" w:ascii="宋体" w:hAnsi="宋体"/>
          <w:sz w:val="24"/>
          <w:highlight w:val="white"/>
          <w:lang w:eastAsia="zh-CN"/>
        </w:rPr>
        <w:t>一般为两个工作小时，基金管理人</w:t>
      </w:r>
      <w:r>
        <w:rPr>
          <w:rFonts w:hint="eastAsia" w:ascii="宋体" w:hAnsi="宋体" w:cs="Arial"/>
          <w:sz w:val="24"/>
          <w:highlight w:val="white"/>
          <w:lang w:eastAsia="zh-CN"/>
        </w:rPr>
        <w:t>应于划款当日15:00前向基金托管人发送划款指令，</w:t>
      </w:r>
      <w:r>
        <w:rPr>
          <w:rFonts w:hint="eastAsia" w:ascii="宋体" w:hAnsi="宋体"/>
          <w:sz w:val="24"/>
          <w:highlight w:val="white"/>
          <w:lang w:eastAsia="zh-CN"/>
        </w:rPr>
        <w:t>15:00之后发送的，基金托管人尽力执行，但不能保证划账成功，</w:t>
      </w:r>
      <w:r>
        <w:rPr>
          <w:rFonts w:hint="eastAsia" w:ascii="宋体" w:hAnsi="宋体" w:cs="Arial"/>
          <w:sz w:val="24"/>
          <w:highlight w:val="white"/>
          <w:lang w:eastAsia="zh-CN"/>
        </w:rPr>
        <w:t>如有特殊情况，双方协商解决。因指令传输不及时、未能留出足够的划款时间，致使资金未能及时到账所造成的损失由基金管理人承担。</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本协议项下的资金账户发生的银行结算费用、银行账户维护费等银行费用，由基金托管人直接从资金账户中扣划，无须基金管理人出具划款指令。</w:t>
      </w:r>
    </w:p>
    <w:p>
      <w:pPr>
        <w:snapToGrid w:val="0"/>
        <w:spacing w:line="360" w:lineRule="auto"/>
        <w:ind w:firstLine="480" w:firstLineChars="200"/>
        <w:jc w:val="left"/>
        <w:rPr>
          <w:rFonts w:ascii="宋体" w:hAnsi="宋体"/>
          <w:sz w:val="24"/>
          <w:lang w:eastAsia="zh-CN"/>
        </w:rPr>
      </w:pPr>
      <w:r>
        <w:rPr>
          <w:rFonts w:hint="eastAsia" w:ascii="宋体" w:hAnsi="宋体"/>
          <w:sz w:val="24"/>
          <w:highlight w:val="white"/>
          <w:lang w:eastAsia="zh-CN"/>
        </w:rPr>
        <w:t>基金托管人在收到有效指令后，将对于同一批次的划款指令随机执行，如有特殊支付顺序，基金管理人应以书面或其他双方认可的形式提前告知。</w:t>
      </w:r>
    </w:p>
    <w:p>
      <w:pPr>
        <w:numPr>
          <w:ilvl w:val="0"/>
          <w:numId w:val="9"/>
        </w:numPr>
        <w:snapToGrid w:val="0"/>
        <w:spacing w:line="360" w:lineRule="auto"/>
        <w:rPr>
          <w:rFonts w:ascii="宋体" w:hAnsi="宋体" w:cs="Arial"/>
          <w:sz w:val="24"/>
        </w:rPr>
      </w:pPr>
      <w:r>
        <w:rPr>
          <w:rFonts w:hint="eastAsia" w:ascii="宋体" w:hAnsi="宋体" w:cs="Arial"/>
          <w:sz w:val="24"/>
          <w:highlight w:val="white"/>
        </w:rPr>
        <w:t>指令的确认</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托管人应指定专人接收基金管理人的指令，预先通知基金管理人其名单，并与基金管理人商定指令发送和接收方式。指令到达基金托管人后，基金托管人应指定专人立即对有关内容及印鉴和签名进行表面一致性审查，如有疑问必须及时通知基金管理人。</w:t>
      </w:r>
    </w:p>
    <w:p>
      <w:pPr>
        <w:numPr>
          <w:ilvl w:val="0"/>
          <w:numId w:val="9"/>
        </w:numPr>
        <w:snapToGrid w:val="0"/>
        <w:spacing w:line="360" w:lineRule="auto"/>
        <w:rPr>
          <w:rFonts w:ascii="宋体" w:hAnsi="宋体" w:cs="Arial"/>
          <w:sz w:val="24"/>
        </w:rPr>
      </w:pPr>
      <w:r>
        <w:rPr>
          <w:rFonts w:hint="eastAsia" w:ascii="宋体" w:hAnsi="宋体" w:cs="Arial"/>
          <w:sz w:val="24"/>
          <w:highlight w:val="white"/>
        </w:rPr>
        <w:t>指令的时间和执行</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基金托管人对指令验证后，应及时办理。指令执行完毕后，基金管理人可通过基金托管人提供的电子渠道查询指令执行结果。</w:t>
      </w:r>
    </w:p>
    <w:p>
      <w:pPr>
        <w:pStyle w:val="67"/>
        <w:snapToGrid w:val="0"/>
        <w:spacing w:after="0" w:line="360" w:lineRule="auto"/>
        <w:rPr>
          <w:rFonts w:hAnsi="宋体" w:cs="Arial"/>
          <w:szCs w:val="24"/>
          <w:lang w:eastAsia="zh-CN"/>
        </w:rPr>
      </w:pPr>
      <w:r>
        <w:rPr>
          <w:rFonts w:hAnsi="宋体" w:cs="Arial"/>
          <w:szCs w:val="24"/>
          <w:highlight w:val="white"/>
          <w:lang w:eastAsia="zh-CN"/>
        </w:rPr>
        <w:t>基金管理人向基金托管人下达指令时，应确保基金资金账户有足够的资金余额，对基金管理人在没有充足资金的情况下向基金托管人发出的投资指令、分红资金等的划拨指令，基金托管人可不予执行，但应立即通知基金管理人，由基金管理人审核、查明原因，出具书面文件确认此交易指令无效</w:t>
      </w:r>
      <w:r>
        <w:rPr>
          <w:rFonts w:hint="eastAsia" w:hAnsi="宋体" w:cs="Arial"/>
          <w:szCs w:val="24"/>
          <w:highlight w:val="white"/>
          <w:lang w:eastAsia="zh-CN"/>
        </w:rPr>
        <w:t>。在及时通知后</w:t>
      </w:r>
      <w:r>
        <w:rPr>
          <w:rFonts w:hAnsi="宋体" w:cs="Arial"/>
          <w:szCs w:val="24"/>
          <w:highlight w:val="white"/>
          <w:lang w:eastAsia="zh-CN"/>
        </w:rPr>
        <w:t>，基金托管人不承担因未执行该指令造成损失的责任。</w:t>
      </w:r>
    </w:p>
    <w:p>
      <w:pPr>
        <w:pStyle w:val="67"/>
        <w:snapToGrid w:val="0"/>
        <w:spacing w:after="0" w:line="360" w:lineRule="auto"/>
        <w:rPr>
          <w:rFonts w:hAnsi="宋体" w:cs="Arial"/>
          <w:szCs w:val="24"/>
          <w:shd w:val="pct10" w:color="FFFFFF" w:fill="FFFFFF"/>
          <w:lang w:eastAsia="zh-CN"/>
        </w:rPr>
      </w:pPr>
      <w:r>
        <w:rPr>
          <w:rFonts w:hAnsi="宋体" w:cs="Arial"/>
          <w:szCs w:val="24"/>
          <w:highlight w:val="white"/>
          <w:lang w:eastAsia="zh-CN"/>
        </w:rPr>
        <w:t>对于发送时资金不足的指令，基金托管人有权不予执行，</w:t>
      </w:r>
      <w:r>
        <w:rPr>
          <w:rFonts w:hint="eastAsia" w:hAnsi="宋体" w:cs="Arial"/>
          <w:szCs w:val="24"/>
          <w:highlight w:val="white"/>
          <w:lang w:eastAsia="zh-CN"/>
        </w:rPr>
        <w:t>但</w:t>
      </w:r>
      <w:r>
        <w:rPr>
          <w:rFonts w:hAnsi="宋体" w:cs="Arial"/>
          <w:szCs w:val="24"/>
          <w:highlight w:val="white"/>
          <w:lang w:eastAsia="zh-CN"/>
        </w:rPr>
        <w:t>应当立即通知基金管理人，基金管理人确认该指令不予取消的，资金备足并通知基金托管人的时间视为指令收到时间。</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（四）基金管理人发送错误指令的情形和处理程序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基金管理人发送错误指令的情形包括指令违反法律法规和基金合同，指令</w:t>
      </w:r>
      <w:r>
        <w:rPr>
          <w:rFonts w:hint="eastAsia" w:ascii="宋体" w:hAnsi="宋体" w:cs="宋体"/>
          <w:sz w:val="24"/>
          <w:highlight w:val="white"/>
          <w:lang w:eastAsia="zh-CN"/>
        </w:rPr>
        <w:t>签署人员无权或超越权限签署划款指令，划款指令中重要信息模糊不清或不全等。</w:t>
      </w:r>
    </w:p>
    <w:p>
      <w:pPr>
        <w:snapToGrid w:val="0"/>
        <w:spacing w:line="360" w:lineRule="auto"/>
        <w:ind w:firstLine="480" w:firstLineChars="200"/>
        <w:rPr>
          <w:rFonts w:ascii="宋体" w:hAnsi="宋体" w:cs="宋体"/>
          <w:sz w:val="24"/>
          <w:lang w:eastAsia="zh-CN"/>
        </w:rPr>
      </w:pPr>
      <w:r>
        <w:rPr>
          <w:rFonts w:hint="eastAsia" w:ascii="宋体" w:hAnsi="宋体" w:cs="宋体"/>
          <w:sz w:val="24"/>
          <w:highlight w:val="white"/>
          <w:lang w:eastAsia="zh-CN"/>
        </w:rPr>
        <w:t>基金管理人如需修改、撤销或停止执行已经发送的划款指令，应先与基金托管人电话联系。若基金托管人还未执行，基金管理人应重新发送修改划款指令或在原划款指令上注明“停止执行”字样并由划款指令签署人员签名，基金托管人收到修改或停止执行的划款指令后，将按新划款指令执行；若基金托管人已执行原划款指令，则应与基金管理人电话说明。</w:t>
      </w:r>
    </w:p>
    <w:p>
      <w:pPr>
        <w:snapToGrid w:val="0"/>
        <w:spacing w:line="360" w:lineRule="auto"/>
        <w:ind w:firstLine="480" w:firstLineChars="200"/>
        <w:rPr>
          <w:rFonts w:ascii="宋体" w:hAnsi="宋体" w:cs="Arial"/>
          <w:sz w:val="24"/>
          <w:lang w:eastAsia="zh-CN"/>
        </w:rPr>
      </w:pPr>
      <w:r>
        <w:rPr>
          <w:rFonts w:hint="eastAsia" w:ascii="宋体" w:hAnsi="宋体" w:cs="宋体"/>
          <w:sz w:val="24"/>
          <w:highlight w:val="white"/>
          <w:lang w:eastAsia="zh-CN"/>
        </w:rPr>
        <w:t>基金管理人的划款指令存在事实上未经授权、欺诈、伪造或未能及时提供授权通知等情形，基金托管人执行有关指令或拒绝执行有关指令而给基金管理人或委托财产或任何第三方带来的损失不由基金托管人承担，但基金托管人未按合同约定尽形式审核义务执行指令而造成损失的情形除外。</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（五）基金托管人依照法律法规暂缓、拒绝执行指令的情形和处理程序</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若基金托管人发现基金管理人的指令违反法律、行政法规和其他有关规定，或者违反基金合同约定的，应当拒绝执行，立即通知基金管理人。</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（六）基金托管人未按照基金管理人指令执行的处理方法</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对于基金管理人发送的合法、有效指令，基金托管人由于自身原因，未按照基金管理人发送的指令执行，</w:t>
      </w:r>
      <w:r>
        <w:rPr>
          <w:rFonts w:hint="eastAsia" w:ascii="宋体" w:hAnsi="宋体"/>
          <w:sz w:val="24"/>
          <w:highlight w:val="white"/>
          <w:lang w:eastAsia="zh-CN"/>
        </w:rPr>
        <w:t>应在发现后及时采取措施予以弥补；</w:t>
      </w:r>
      <w:r>
        <w:rPr>
          <w:rFonts w:hint="eastAsia" w:ascii="宋体" w:hAnsi="宋体" w:cs="Arial"/>
          <w:sz w:val="24"/>
          <w:highlight w:val="white"/>
          <w:lang w:eastAsia="zh-CN"/>
        </w:rPr>
        <w:t>若对基金管理人、基金财产或投资人造成直接损失的，由基金托管人</w:t>
      </w:r>
      <w:r>
        <w:rPr>
          <w:rFonts w:hint="eastAsia" w:ascii="宋体" w:hAnsi="宋体"/>
          <w:sz w:val="24"/>
          <w:highlight w:val="white"/>
          <w:lang w:eastAsia="zh-CN"/>
        </w:rPr>
        <w:t>赔偿由此造成的直接损失。</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（七）其他事项</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托管人在接收指令时，应对指令的要素是否齐全、印鉴与被授权人是否与预留的授权文件内容相符进行检查，如发现问题，应及时报告基金管理人，基金托管人对执行基金管理人的合法指令对基金财产造成的损失不承担赔偿责任。</w:t>
      </w:r>
    </w:p>
    <w:p>
      <w:pPr>
        <w:snapToGrid w:val="0"/>
        <w:spacing w:line="360" w:lineRule="auto"/>
        <w:ind w:firstLine="480" w:firstLineChars="200"/>
        <w:jc w:val="left"/>
        <w:rPr>
          <w:rFonts w:ascii="宋体" w:hAnsi="宋体" w:cs="Arial"/>
          <w:sz w:val="24"/>
          <w:lang w:eastAsia="zh-CN"/>
        </w:rPr>
      </w:pPr>
      <w:r>
        <w:rPr>
          <w:rFonts w:hint="eastAsia" w:ascii="宋体" w:hAnsi="宋体" w:cs="Arial"/>
          <w:sz w:val="24"/>
          <w:highlight w:val="white"/>
          <w:lang w:eastAsia="zh-CN"/>
        </w:rPr>
        <w:t>基金参与认购未上市债券时，基金管理人应代表本基金与对手方签署相关合同或协议，明确约定债券过户具体事宜。否则，基金管理人需对所认购债券的过户事宜承担相应责任。</w:t>
      </w:r>
    </w:p>
    <w:p>
      <w:pPr>
        <w:snapToGrid w:val="0"/>
        <w:spacing w:line="360" w:lineRule="auto"/>
        <w:ind w:firstLine="480"/>
        <w:rPr>
          <w:rFonts w:ascii="宋体" w:hAnsi="宋体" w:cs="Arial"/>
          <w:sz w:val="24"/>
          <w:lang w:eastAsia="zh-CN"/>
        </w:rPr>
      </w:pPr>
      <w:r>
        <w:rPr>
          <w:rFonts w:hint="eastAsia" w:ascii="宋体" w:hAnsi="宋体"/>
          <w:sz w:val="24"/>
          <w:highlight w:val="white"/>
        </w:rPr>
        <w:t>指令正本由基金管理人保管，基金托管人保管</w:t>
      </w:r>
      <w:r>
        <w:rPr>
          <w:rFonts w:hint="eastAsia" w:ascii="宋体" w:hAnsi="宋体" w:cs="宋体"/>
          <w:sz w:val="24"/>
          <w:highlight w:val="white"/>
        </w:rPr>
        <w:t>收到的划款指令文件</w:t>
      </w:r>
      <w:r>
        <w:rPr>
          <w:rFonts w:hint="eastAsia" w:ascii="宋体" w:hAnsi="宋体"/>
          <w:sz w:val="24"/>
          <w:highlight w:val="white"/>
        </w:rPr>
        <w:t>。</w:t>
      </w:r>
      <w:r>
        <w:rPr>
          <w:rFonts w:hint="eastAsia" w:ascii="宋体" w:hAnsi="宋体"/>
          <w:sz w:val="24"/>
          <w:highlight w:val="white"/>
          <w:lang w:eastAsia="zh-CN"/>
        </w:rPr>
        <w:t>当两者不一致时，以基金托管人收到的</w:t>
      </w:r>
      <w:r>
        <w:rPr>
          <w:rFonts w:hint="eastAsia" w:ascii="宋体" w:hAnsi="宋体" w:cs="宋体"/>
          <w:sz w:val="24"/>
          <w:highlight w:val="white"/>
          <w:lang w:eastAsia="zh-CN"/>
        </w:rPr>
        <w:t>划款指令文件</w:t>
      </w:r>
      <w:r>
        <w:rPr>
          <w:rFonts w:hint="eastAsia" w:ascii="宋体" w:hAnsi="宋体"/>
          <w:sz w:val="24"/>
          <w:highlight w:val="white"/>
          <w:lang w:eastAsia="zh-CN"/>
        </w:rPr>
        <w:t>为准</w:t>
      </w:r>
      <w:r>
        <w:rPr>
          <w:rFonts w:hint="eastAsia" w:ascii="宋体" w:hAnsi="宋体" w:cs="Arial"/>
          <w:sz w:val="24"/>
          <w:highlight w:val="white"/>
          <w:lang w:eastAsia="zh-CN"/>
        </w:rPr>
        <w:t>。</w:t>
      </w:r>
    </w:p>
    <w:p>
      <w:pPr>
        <w:widowControl/>
        <w:jc w:val="left"/>
        <w:rPr>
          <w:rFonts w:ascii="宋体" w:hAnsi="宋体" w:cs="Arial"/>
          <w:sz w:val="24"/>
          <w:lang w:eastAsia="zh-CN"/>
        </w:rPr>
      </w:pPr>
      <w:r>
        <w:rPr>
          <w:rFonts w:ascii="宋体" w:hAnsi="宋体" w:cs="Arial"/>
          <w:sz w:val="24"/>
          <w:lang w:eastAsia="zh-CN"/>
        </w:rPr>
        <w:br w:type="page"/>
      </w:r>
    </w:p>
    <w:p>
      <w:pPr>
        <w:pStyle w:val="2"/>
        <w:numPr>
          <w:ilvl w:val="0"/>
          <w:numId w:val="1"/>
        </w:numPr>
        <w:spacing w:line="360" w:lineRule="auto"/>
        <w:jc w:val="center"/>
        <w:rPr>
          <w:rFonts w:ascii="宋体" w:hAnsi="宋体"/>
          <w:sz w:val="28"/>
          <w:szCs w:val="28"/>
        </w:rPr>
      </w:pPr>
      <w:bookmarkStart w:id="129" w:name="_Toc295833680"/>
      <w:bookmarkEnd w:id="129"/>
      <w:bookmarkStart w:id="130" w:name="_Toc295832642"/>
      <w:bookmarkEnd w:id="130"/>
      <w:bookmarkStart w:id="131" w:name="_Toc295833009"/>
      <w:bookmarkEnd w:id="131"/>
      <w:bookmarkStart w:id="132" w:name="_Toc295832949"/>
      <w:bookmarkEnd w:id="132"/>
      <w:bookmarkStart w:id="133" w:name="_Toc110830495"/>
      <w:bookmarkStart w:id="134" w:name="_Toc118212953"/>
      <w:bookmarkStart w:id="135" w:name="_Toc450839473"/>
      <w:bookmarkStart w:id="136" w:name="_Toc86225294"/>
      <w:bookmarkStart w:id="137" w:name="_Toc124325891"/>
      <w:bookmarkStart w:id="138" w:name="_Toc120435786"/>
      <w:bookmarkStart w:id="139" w:name="_Toc86223245"/>
      <w:bookmarkStart w:id="140" w:name="_Toc86204791"/>
      <w:bookmarkStart w:id="141" w:name="_Toc86726442"/>
      <w:bookmarkStart w:id="142" w:name="_Toc110761799"/>
      <w:bookmarkStart w:id="143" w:name="_Toc270669858"/>
      <w:bookmarkStart w:id="144" w:name="_Toc84234390"/>
      <w:bookmarkStart w:id="145" w:name="_Toc86649725"/>
      <w:bookmarkStart w:id="146" w:name="_Toc89163371"/>
      <w:bookmarkStart w:id="147" w:name="_Toc86737932"/>
      <w:bookmarkStart w:id="148" w:name="_Toc110765663"/>
      <w:bookmarkStart w:id="149" w:name="_Toc118972651"/>
      <w:bookmarkStart w:id="150" w:name="_Toc118774806"/>
      <w:bookmarkStart w:id="151" w:name="_Toc108512361"/>
      <w:bookmarkStart w:id="152" w:name="_Toc119402713"/>
      <w:bookmarkStart w:id="153" w:name="_Toc86727358"/>
      <w:bookmarkStart w:id="154" w:name="_Toc84133788"/>
      <w:bookmarkStart w:id="155" w:name="_Toc84234437"/>
      <w:r>
        <w:rPr>
          <w:rFonts w:hint="eastAsia" w:ascii="宋体" w:hAnsi="宋体"/>
          <w:sz w:val="28"/>
          <w:szCs w:val="28"/>
          <w:highlight w:val="white"/>
        </w:rPr>
        <w:t>交易及清算交收安排</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（一）选择证券、期货买卖的证券、期货经纪机构</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应制定选择的标准和程序，并负责根据相关标准以及内部管理制度对有关证券经纪机构进行考察后确定代理本基金证券买卖证券经纪机构，并承担相应责任。基金管理人和被选择的证券经纪机构签订证券经纪合同或其他约定的形式，由基金管理人通知基金托管人，并按法律法规要求在法定信息披露报告中披露有关内容。基金管理人、基金托管人和证券经纪机构可就本基金参与证券交易的具体事项另行签订证券经纪服务协议。</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基金管理人负责选择代理本基金期货交易的期货经纪机构，并与其签订期货经纪合同，其他事宜根据法律法规、基金合同的相关规定执行，若无明确规定的，可参照有关证券买卖的证券经纪机构选择的规则执行。</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（二）基金投资证券后的清算交收安排</w:t>
      </w:r>
    </w:p>
    <w:p>
      <w:pPr>
        <w:numPr>
          <w:ilvl w:val="0"/>
          <w:numId w:val="10"/>
        </w:numPr>
        <w:snapToGrid w:val="0"/>
        <w:spacing w:line="360" w:lineRule="auto"/>
        <w:rPr>
          <w:rFonts w:ascii="宋体" w:hAnsi="宋体" w:cs="Arial"/>
          <w:sz w:val="24"/>
        </w:rPr>
      </w:pPr>
      <w:r>
        <w:rPr>
          <w:rFonts w:hint="eastAsia" w:ascii="宋体" w:hAnsi="宋体" w:cs="Arial"/>
          <w:sz w:val="24"/>
          <w:highlight w:val="white"/>
        </w:rPr>
        <w:t>清算与交割</w:t>
      </w:r>
    </w:p>
    <w:p>
      <w:pPr>
        <w:snapToGrid w:val="0"/>
        <w:spacing w:line="360" w:lineRule="auto"/>
        <w:ind w:firstLine="480"/>
        <w:rPr>
          <w:rFonts w:ascii="宋体" w:hAnsi="宋体"/>
          <w:sz w:val="24"/>
          <w:lang w:eastAsia="zh-CN"/>
        </w:rPr>
      </w:pPr>
      <w:r>
        <w:rPr>
          <w:rFonts w:hint="eastAsia" w:ascii="宋体" w:hAnsi="宋体"/>
          <w:sz w:val="24"/>
          <w:highlight w:val="white"/>
          <w:lang w:eastAsia="zh-CN"/>
        </w:rPr>
        <w:t xml:space="preserve">本基金通过证券经纪机构进行的交易由证券经纪机构作为结算参与人代理本基金进行结算；本基金通过期货经纪机构进行的交易由期货经纪机构作为结算参与人代理本基金进行结算；本基金其他证券交易由基金托管人或相关机构负责结算。基金管理人、基金托管人以及被选择的证券经纪机构应根据有关法律法规及相关业务规则，签订证券经纪服务协议，用以具体明确三方在证券交易资金结算业务中的责任。 </w:t>
      </w:r>
    </w:p>
    <w:p>
      <w:pPr>
        <w:snapToGrid w:val="0"/>
        <w:spacing w:line="360" w:lineRule="auto"/>
        <w:ind w:firstLine="480"/>
        <w:rPr>
          <w:rFonts w:ascii="宋体" w:hAnsi="宋体"/>
          <w:sz w:val="24"/>
          <w:lang w:eastAsia="zh-CN"/>
        </w:rPr>
      </w:pPr>
      <w:r>
        <w:rPr>
          <w:rFonts w:hint="eastAsia" w:ascii="宋体" w:hAnsi="宋体"/>
          <w:sz w:val="24"/>
          <w:highlight w:val="white"/>
          <w:lang w:eastAsia="zh-CN"/>
        </w:rPr>
        <w:t xml:space="preserve">对基金管理人的资金划拨指令，基金托管人在复核无误后应在规定期限内执行不得延误。 </w:t>
      </w:r>
    </w:p>
    <w:p>
      <w:pPr>
        <w:snapToGrid w:val="0"/>
        <w:spacing w:line="360" w:lineRule="auto"/>
        <w:ind w:firstLine="480"/>
        <w:rPr>
          <w:rFonts w:ascii="宋体" w:hAnsi="宋体"/>
          <w:sz w:val="24"/>
          <w:lang w:eastAsia="zh-CN"/>
        </w:rPr>
      </w:pPr>
      <w:r>
        <w:rPr>
          <w:rFonts w:hint="eastAsia" w:ascii="宋体" w:hAnsi="宋体"/>
          <w:sz w:val="24"/>
          <w:highlight w:val="white"/>
          <w:lang w:eastAsia="zh-CN"/>
        </w:rPr>
        <w:t xml:space="preserve">本基金投资于证券发生的所有场外交易的资金汇划，由基金托管人负责办理。 </w:t>
      </w:r>
    </w:p>
    <w:p>
      <w:pPr>
        <w:snapToGrid w:val="0"/>
        <w:spacing w:line="360" w:lineRule="auto"/>
        <w:ind w:firstLine="480"/>
        <w:rPr>
          <w:rFonts w:ascii="宋体" w:hAnsi="宋体" w:cs="Arial"/>
          <w:sz w:val="24"/>
          <w:lang w:eastAsia="zh-CN"/>
        </w:rPr>
      </w:pPr>
      <w:r>
        <w:rPr>
          <w:rFonts w:hint="eastAsia" w:ascii="宋体" w:hAnsi="宋体"/>
          <w:sz w:val="24"/>
          <w:highlight w:val="white"/>
          <w:lang w:eastAsia="zh-CN"/>
        </w:rPr>
        <w:t>证券经纪机构代理本基金财产与中国证券登记结算有限责任公司完成证券交易及非交易涉及的证券资金结算业务，并承担由证券经纪机构原因造成的正常结算、交收业务无法完成的责任</w:t>
      </w:r>
      <w:r>
        <w:rPr>
          <w:rFonts w:hint="eastAsia" w:ascii="宋体" w:hAnsi="宋体" w:cs="Arial"/>
          <w:sz w:val="24"/>
          <w:highlight w:val="white"/>
          <w:lang w:eastAsia="zh-CN"/>
        </w:rPr>
        <w:t>。</w:t>
      </w:r>
    </w:p>
    <w:p>
      <w:pPr>
        <w:numPr>
          <w:ilvl w:val="0"/>
          <w:numId w:val="10"/>
        </w:numPr>
        <w:snapToGrid w:val="0"/>
        <w:spacing w:line="360" w:lineRule="auto"/>
        <w:rPr>
          <w:rFonts w:ascii="宋体" w:hAnsi="宋体" w:cs="Arial"/>
          <w:sz w:val="24"/>
          <w:lang w:eastAsia="zh-CN"/>
        </w:rPr>
      </w:pPr>
      <w:r>
        <w:rPr>
          <w:rFonts w:hint="eastAsia" w:ascii="宋体" w:hAnsi="宋体" w:cs="Arial"/>
          <w:sz w:val="24"/>
          <w:highlight w:val="white"/>
          <w:lang w:eastAsia="zh-CN"/>
        </w:rPr>
        <w:t>交易记录、资金和证券账目核对的时间和方式</w:t>
      </w:r>
    </w:p>
    <w:p>
      <w:pPr>
        <w:numPr>
          <w:ilvl w:val="0"/>
          <w:numId w:val="11"/>
        </w:numPr>
        <w:snapToGrid w:val="0"/>
        <w:spacing w:line="360" w:lineRule="auto"/>
        <w:rPr>
          <w:rFonts w:ascii="宋体" w:hAnsi="宋体" w:cs="Arial"/>
          <w:sz w:val="24"/>
        </w:rPr>
      </w:pPr>
      <w:r>
        <w:rPr>
          <w:rFonts w:hint="eastAsia" w:ascii="宋体" w:hAnsi="宋体" w:cs="Arial"/>
          <w:sz w:val="24"/>
          <w:highlight w:val="white"/>
        </w:rPr>
        <w:t>交易记录的核对</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基金管理人和基金托管人按日进行交易记录的核对。对外披露</w:t>
      </w:r>
      <w:r>
        <w:rPr>
          <w:rFonts w:hint="eastAsia" w:ascii="宋体" w:hAnsi="宋体"/>
          <w:sz w:val="24"/>
          <w:highlight w:val="white"/>
          <w:lang w:eastAsia="zh-CN"/>
        </w:rPr>
        <w:t>基金份额</w:t>
      </w:r>
      <w:r>
        <w:rPr>
          <w:rFonts w:hint="eastAsia" w:ascii="宋体" w:hAnsi="宋体" w:cs="Arial"/>
          <w:sz w:val="24"/>
          <w:highlight w:val="white"/>
          <w:lang w:eastAsia="zh-CN"/>
        </w:rPr>
        <w:t>净值之前，必须保证当天所有实际交易记录与基金会计账簿上的交易记录完全一致。如果实际交易记录与会计账簿记录不一致，造成基金会计核算不完整或不真实，由此导致的损失由基金管理人承担。</w:t>
      </w:r>
    </w:p>
    <w:p>
      <w:pPr>
        <w:numPr>
          <w:ilvl w:val="0"/>
          <w:numId w:val="11"/>
        </w:numPr>
        <w:snapToGrid w:val="0"/>
        <w:spacing w:line="360" w:lineRule="auto"/>
        <w:rPr>
          <w:rFonts w:ascii="宋体" w:hAnsi="宋体" w:cs="Arial"/>
          <w:sz w:val="24"/>
        </w:rPr>
      </w:pPr>
      <w:r>
        <w:rPr>
          <w:rFonts w:hint="eastAsia" w:ascii="宋体" w:hAnsi="宋体" w:cs="Arial"/>
          <w:sz w:val="24"/>
          <w:highlight w:val="white"/>
        </w:rPr>
        <w:t>资金账目的核对</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资金账目由基金管理人与基金托管人按日核实，账实相符。</w:t>
      </w:r>
    </w:p>
    <w:p>
      <w:pPr>
        <w:numPr>
          <w:ilvl w:val="0"/>
          <w:numId w:val="11"/>
        </w:numPr>
        <w:snapToGrid w:val="0"/>
        <w:spacing w:line="360" w:lineRule="auto"/>
        <w:rPr>
          <w:rFonts w:ascii="宋体" w:hAnsi="宋体" w:cs="Arial"/>
          <w:sz w:val="24"/>
        </w:rPr>
      </w:pPr>
      <w:r>
        <w:rPr>
          <w:rFonts w:hint="eastAsia" w:ascii="宋体" w:hAnsi="宋体" w:cs="Arial"/>
          <w:sz w:val="24"/>
          <w:highlight w:val="white"/>
        </w:rPr>
        <w:t>证券账目的核对</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基金管理人和基金托管人每交易日结束后核对基金证券账目，确保双方账目相符。</w:t>
      </w:r>
    </w:p>
    <w:p>
      <w:pPr>
        <w:numPr>
          <w:ilvl w:val="0"/>
          <w:numId w:val="11"/>
        </w:numPr>
        <w:snapToGrid w:val="0"/>
        <w:spacing w:line="360" w:lineRule="auto"/>
        <w:rPr>
          <w:rFonts w:ascii="宋体" w:hAnsi="宋体" w:cs="Arial"/>
          <w:sz w:val="24"/>
          <w:lang w:eastAsia="zh-CN"/>
        </w:rPr>
      </w:pPr>
      <w:r>
        <w:rPr>
          <w:rFonts w:hint="eastAsia" w:ascii="宋体" w:hAnsi="宋体" w:cs="Arial"/>
          <w:sz w:val="24"/>
          <w:highlight w:val="white"/>
          <w:lang w:eastAsia="zh-CN"/>
        </w:rPr>
        <w:t>基金管理人和基金托管人每月月末核对实物证券账目。</w:t>
      </w:r>
    </w:p>
    <w:p>
      <w:pPr>
        <w:snapToGrid w:val="0"/>
        <w:spacing w:line="360" w:lineRule="auto"/>
        <w:ind w:firstLine="480"/>
        <w:rPr>
          <w:rFonts w:ascii="宋体" w:hAnsi="宋体" w:cs="Arial"/>
          <w:sz w:val="24"/>
          <w:lang w:eastAsia="zh-CN"/>
        </w:rPr>
      </w:pPr>
      <w:r>
        <w:rPr>
          <w:rFonts w:ascii="宋体" w:hAnsi="宋体" w:cs="Arial"/>
          <w:sz w:val="24"/>
          <w:highlight w:val="white"/>
          <w:lang w:eastAsia="zh-CN"/>
        </w:rPr>
        <w:t>（</w:t>
      </w:r>
      <w:r>
        <w:rPr>
          <w:rFonts w:hint="eastAsia" w:ascii="宋体" w:hAnsi="宋体" w:cs="Arial"/>
          <w:sz w:val="24"/>
          <w:highlight w:val="white"/>
          <w:lang w:eastAsia="zh-CN"/>
        </w:rPr>
        <w:t>三</w:t>
      </w:r>
      <w:r>
        <w:rPr>
          <w:rFonts w:ascii="宋体" w:hAnsi="宋体" w:cs="Arial"/>
          <w:sz w:val="24"/>
          <w:highlight w:val="white"/>
          <w:lang w:eastAsia="zh-CN"/>
        </w:rPr>
        <w:t>）基金申购、赎回业务处理的基本规定</w:t>
      </w:r>
    </w:p>
    <w:p>
      <w:pPr>
        <w:snapToGrid w:val="0"/>
        <w:spacing w:line="360" w:lineRule="auto"/>
        <w:ind w:firstLine="480"/>
        <w:rPr>
          <w:rFonts w:ascii="宋体" w:hAnsi="宋体" w:cs="Arial"/>
          <w:sz w:val="24"/>
          <w:lang w:eastAsia="zh-CN"/>
        </w:rPr>
      </w:pPr>
      <w:r>
        <w:rPr>
          <w:rFonts w:ascii="宋体" w:hAnsi="宋体" w:cs="Arial"/>
          <w:sz w:val="24"/>
          <w:highlight w:val="white"/>
          <w:lang w:eastAsia="zh-CN"/>
        </w:rPr>
        <w:t>1</w:t>
      </w:r>
      <w:r>
        <w:rPr>
          <w:rFonts w:hint="eastAsia" w:ascii="宋体" w:hAnsi="宋体" w:cs="Arial"/>
          <w:sz w:val="24"/>
          <w:highlight w:val="white"/>
          <w:lang w:eastAsia="zh-CN"/>
        </w:rPr>
        <w:t>.</w:t>
      </w:r>
      <w:r>
        <w:rPr>
          <w:rFonts w:ascii="宋体" w:hAnsi="宋体" w:cs="Arial"/>
          <w:sz w:val="24"/>
          <w:highlight w:val="white"/>
          <w:lang w:eastAsia="zh-CN"/>
        </w:rPr>
        <w:t>基金份额申购、赎回的确认、清算由基金管理人或其委托的登记结算机构负责。</w:t>
      </w:r>
    </w:p>
    <w:p>
      <w:pPr>
        <w:snapToGrid w:val="0"/>
        <w:spacing w:line="360" w:lineRule="auto"/>
        <w:ind w:firstLine="480"/>
        <w:rPr>
          <w:rFonts w:ascii="宋体" w:hAnsi="宋体" w:cs="Arial"/>
          <w:sz w:val="24"/>
          <w:lang w:eastAsia="zh-CN"/>
        </w:rPr>
      </w:pPr>
      <w:r>
        <w:rPr>
          <w:rFonts w:ascii="宋体" w:hAnsi="宋体" w:cs="Arial"/>
          <w:sz w:val="24"/>
          <w:highlight w:val="white"/>
          <w:lang w:eastAsia="zh-CN"/>
        </w:rPr>
        <w:t>2</w:t>
      </w:r>
      <w:r>
        <w:rPr>
          <w:rFonts w:hint="eastAsia" w:ascii="宋体" w:hAnsi="宋体" w:cs="Arial"/>
          <w:sz w:val="24"/>
          <w:highlight w:val="white"/>
          <w:lang w:eastAsia="zh-CN"/>
        </w:rPr>
        <w:t>.</w:t>
      </w:r>
      <w:r>
        <w:rPr>
          <w:rFonts w:ascii="宋体" w:hAnsi="宋体" w:cs="Arial"/>
          <w:sz w:val="24"/>
          <w:highlight w:val="white"/>
          <w:lang w:eastAsia="zh-CN"/>
        </w:rPr>
        <w:t>本基金申购、赎回过程中涉及的基金份额、组合证券、现金替代、现金差额及其他对价的清算交收依据交易所相关业务规则、参与各方相关协议及招募说明书的有关规定办理。如遇特殊情况，双方协商处理。如果登记结算机构相关的结算交收业务规则发生变更，则按最新规则办理。基金管理人和基金托管人也可经协商一致后，在法律法规规定和《基金合同》约定的范围内，采取其他可行的交收方式。</w:t>
      </w:r>
    </w:p>
    <w:p>
      <w:pPr>
        <w:snapToGrid w:val="0"/>
        <w:spacing w:line="360" w:lineRule="auto"/>
        <w:ind w:firstLine="480"/>
        <w:rPr>
          <w:rFonts w:ascii="宋体" w:hAnsi="宋体" w:cs="Arial"/>
          <w:sz w:val="24"/>
        </w:rPr>
      </w:pPr>
      <w:r>
        <w:rPr>
          <w:rFonts w:hint="eastAsia" w:ascii="宋体" w:hAnsi="宋体" w:cs="Arial"/>
          <w:sz w:val="24"/>
          <w:highlight w:val="white"/>
        </w:rPr>
        <w:t>（四）基金现金分红</w:t>
      </w:r>
    </w:p>
    <w:p>
      <w:pPr>
        <w:numPr>
          <w:ilvl w:val="0"/>
          <w:numId w:val="1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基金管理人确定分红方案通知基金托管人，双方核定后依照《信息披露办法》的有关规定在中国证监会</w:t>
      </w:r>
      <w:r>
        <w:rPr>
          <w:rFonts w:ascii="宋体" w:hAnsi="宋体" w:cs="Arial"/>
          <w:sz w:val="24"/>
          <w:highlight w:val="white"/>
          <w:lang w:eastAsia="zh-CN"/>
        </w:rPr>
        <w:t>规</w:t>
      </w:r>
      <w:r>
        <w:rPr>
          <w:rFonts w:hint="eastAsia" w:ascii="宋体" w:hAnsi="宋体" w:cs="Arial"/>
          <w:sz w:val="24"/>
          <w:highlight w:val="white"/>
          <w:lang w:eastAsia="zh-CN"/>
        </w:rPr>
        <w:t>定媒介上公告。</w:t>
      </w:r>
    </w:p>
    <w:p>
      <w:pPr>
        <w:numPr>
          <w:ilvl w:val="0"/>
          <w:numId w:val="1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基金托管人和基金管理人对基金分红进行账务处理并核对后，基金管理人向基金托管人发送现金红利的划款指令，基金托管人应及时将资金划入指定账户。</w:t>
      </w:r>
    </w:p>
    <w:p>
      <w:pPr>
        <w:numPr>
          <w:ilvl w:val="0"/>
          <w:numId w:val="12"/>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基金管理人在下达指令时，应给基金托管人留出必需的划款时间。</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（五）期货交易及清算交收</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所选择的期货公司负责办理基金资产期货交易的清算交割；基金管理人应责成其选择的期货公司对发送的数据的准确性、完整性、真实性负责。基金管理人、基金托管人以及期货公司应另行签署《期货投资托管操作备忘录》，约定基金资产在期货投资运作中的职责及义务。</w:t>
      </w:r>
    </w:p>
    <w:p>
      <w:pPr>
        <w:snapToGrid w:val="0"/>
        <w:spacing w:line="360" w:lineRule="auto"/>
        <w:rPr>
          <w:rFonts w:ascii="宋体" w:hAnsi="宋体" w:cs="Arial"/>
          <w:sz w:val="24"/>
          <w:lang w:eastAsia="zh-CN"/>
        </w:rPr>
      </w:pPr>
    </w:p>
    <w:p>
      <w:pPr>
        <w:pStyle w:val="2"/>
        <w:numPr>
          <w:ilvl w:val="0"/>
          <w:numId w:val="1"/>
        </w:numPr>
        <w:spacing w:line="360" w:lineRule="auto"/>
        <w:jc w:val="center"/>
        <w:rPr>
          <w:rFonts w:ascii="宋体" w:hAnsi="宋体"/>
          <w:sz w:val="28"/>
          <w:szCs w:val="28"/>
          <w:lang w:eastAsia="zh-CN"/>
        </w:rPr>
      </w:pPr>
      <w:bookmarkStart w:id="156" w:name="_Toc421108277"/>
      <w:bookmarkEnd w:id="156"/>
      <w:bookmarkStart w:id="157" w:name="_Toc421108278"/>
      <w:bookmarkEnd w:id="157"/>
      <w:bookmarkStart w:id="158" w:name="_Toc295832951"/>
      <w:bookmarkEnd w:id="158"/>
      <w:bookmarkStart w:id="159" w:name="_Toc295833011"/>
      <w:bookmarkEnd w:id="159"/>
      <w:bookmarkStart w:id="160" w:name="_Toc295833682"/>
      <w:bookmarkEnd w:id="160"/>
      <w:bookmarkStart w:id="161" w:name="_Toc295832644"/>
      <w:bookmarkEnd w:id="161"/>
      <w:bookmarkStart w:id="162" w:name="_Toc450839474"/>
      <w:bookmarkStart w:id="163" w:name="_Toc124325892"/>
      <w:bookmarkStart w:id="164" w:name="_Toc270669859"/>
      <w:r>
        <w:rPr>
          <w:rFonts w:hint="eastAsia" w:ascii="宋体" w:hAnsi="宋体"/>
          <w:sz w:val="28"/>
          <w:szCs w:val="28"/>
          <w:highlight w:val="white"/>
          <w:lang w:eastAsia="zh-CN"/>
        </w:rPr>
        <w:t>基金资产净值计算和会计核算</w:t>
      </w:r>
      <w:bookmarkEnd w:id="162"/>
      <w:bookmarkEnd w:id="163"/>
      <w:bookmarkEnd w:id="164"/>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（一）基金资产净值的计算、复核与完成的时间及程序</w:t>
      </w:r>
    </w:p>
    <w:p>
      <w:pPr>
        <w:numPr>
          <w:ilvl w:val="0"/>
          <w:numId w:val="13"/>
        </w:numPr>
        <w:snapToGrid w:val="0"/>
        <w:spacing w:line="360" w:lineRule="auto"/>
        <w:ind w:left="0" w:firstLine="480"/>
        <w:rPr>
          <w:rFonts w:ascii="宋体" w:hAnsi="宋体" w:cs="Arial"/>
          <w:sz w:val="24"/>
        </w:rPr>
      </w:pPr>
      <w:r>
        <w:rPr>
          <w:rFonts w:hint="eastAsia" w:ascii="宋体" w:hAnsi="宋体" w:cs="Arial"/>
          <w:sz w:val="24"/>
          <w:highlight w:val="white"/>
        </w:rPr>
        <w:t>基金资产净值</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基金资产净值是指基金资产总值减去基金负债后的价值。</w:t>
      </w:r>
    </w:p>
    <w:p>
      <w:pPr>
        <w:snapToGrid w:val="0"/>
        <w:spacing w:line="360" w:lineRule="auto"/>
        <w:ind w:firstLine="480" w:firstLineChars="200"/>
        <w:rPr>
          <w:rFonts w:ascii="宋体" w:hAnsi="宋体" w:cs="Arial"/>
          <w:sz w:val="24"/>
          <w:lang w:eastAsia="zh-CN"/>
        </w:rPr>
      </w:pPr>
      <w:r>
        <w:rPr>
          <w:rFonts w:ascii="宋体" w:hAnsi="宋体"/>
          <w:bCs/>
          <w:sz w:val="24"/>
          <w:highlight w:val="white"/>
          <w:lang w:eastAsia="zh-CN"/>
        </w:rPr>
        <w:t>基金份额净值是按照每个</w:t>
      </w:r>
      <w:r>
        <w:rPr>
          <w:rFonts w:hint="eastAsia" w:ascii="宋体" w:hAnsi="宋体"/>
          <w:bCs/>
          <w:sz w:val="24"/>
          <w:highlight w:val="white"/>
          <w:lang w:eastAsia="zh-CN"/>
        </w:rPr>
        <w:t>估值</w:t>
      </w:r>
      <w:r>
        <w:rPr>
          <w:rFonts w:ascii="宋体" w:hAnsi="宋体"/>
          <w:bCs/>
          <w:sz w:val="24"/>
          <w:highlight w:val="white"/>
          <w:lang w:eastAsia="zh-CN"/>
        </w:rPr>
        <w:t>日闭市后，基金资产净值除以当日基金份额的余额数量计算，基金份额净值精确到</w:t>
      </w:r>
      <w:r>
        <w:rPr>
          <w:rFonts w:hint="eastAsia" w:ascii="宋体" w:hAnsi="宋体" w:cs="宋体"/>
          <w:bCs/>
          <w:sz w:val="24"/>
          <w:highlight w:val="white"/>
          <w:lang w:eastAsia="zh-CN"/>
        </w:rPr>
        <w:t>0.0001</w:t>
      </w:r>
      <w:r>
        <w:rPr>
          <w:rFonts w:ascii="宋体" w:hAnsi="宋体"/>
          <w:bCs/>
          <w:sz w:val="24"/>
          <w:highlight w:val="white"/>
          <w:lang w:eastAsia="zh-CN"/>
        </w:rPr>
        <w:t>元，小数点后第</w:t>
      </w:r>
      <w:r>
        <w:rPr>
          <w:rFonts w:hint="eastAsia" w:ascii="宋体" w:hAnsi="宋体" w:cs="宋体"/>
          <w:bCs/>
          <w:sz w:val="24"/>
          <w:highlight w:val="white"/>
          <w:lang w:eastAsia="zh-CN"/>
        </w:rPr>
        <w:t>5</w:t>
      </w:r>
      <w:r>
        <w:rPr>
          <w:rFonts w:ascii="宋体" w:hAnsi="宋体"/>
          <w:bCs/>
          <w:sz w:val="24"/>
          <w:highlight w:val="white"/>
          <w:lang w:eastAsia="zh-CN"/>
        </w:rPr>
        <w:t>位四舍五入。国家另有规定的，从其规定。</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基金管理人每个</w:t>
      </w:r>
      <w:r>
        <w:rPr>
          <w:rFonts w:hint="eastAsia" w:ascii="宋体" w:hAnsi="宋体"/>
          <w:bCs/>
          <w:sz w:val="24"/>
          <w:highlight w:val="white"/>
          <w:lang w:eastAsia="zh-CN"/>
        </w:rPr>
        <w:t>估值</w:t>
      </w:r>
      <w:r>
        <w:rPr>
          <w:rFonts w:ascii="宋体" w:hAnsi="宋体"/>
          <w:bCs/>
          <w:sz w:val="24"/>
          <w:highlight w:val="white"/>
          <w:lang w:eastAsia="zh-CN"/>
        </w:rPr>
        <w:t>日</w:t>
      </w:r>
      <w:r>
        <w:rPr>
          <w:rFonts w:hint="eastAsia" w:ascii="宋体" w:hAnsi="宋体" w:cs="Arial"/>
          <w:sz w:val="24"/>
          <w:highlight w:val="white"/>
          <w:lang w:eastAsia="zh-CN"/>
        </w:rPr>
        <w:t>计算基金资产净值及基金份额净值，经基金托管人复核，并按规定公告。</w:t>
      </w:r>
    </w:p>
    <w:p>
      <w:pPr>
        <w:numPr>
          <w:ilvl w:val="0"/>
          <w:numId w:val="13"/>
        </w:numPr>
        <w:snapToGrid w:val="0"/>
        <w:spacing w:line="360" w:lineRule="auto"/>
        <w:ind w:left="0" w:firstLine="480"/>
        <w:rPr>
          <w:rFonts w:ascii="宋体" w:hAnsi="宋体" w:cs="Arial"/>
          <w:sz w:val="24"/>
        </w:rPr>
      </w:pPr>
      <w:r>
        <w:rPr>
          <w:rFonts w:hint="eastAsia" w:ascii="宋体" w:hAnsi="宋体" w:cs="Arial"/>
          <w:sz w:val="24"/>
          <w:highlight w:val="white"/>
        </w:rPr>
        <w:t>复核程序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基金管理人每个</w:t>
      </w:r>
      <w:r>
        <w:rPr>
          <w:rFonts w:hint="eastAsia" w:ascii="宋体" w:hAnsi="宋体"/>
          <w:bCs/>
          <w:sz w:val="24"/>
          <w:highlight w:val="white"/>
          <w:lang w:eastAsia="zh-CN"/>
        </w:rPr>
        <w:t>估值</w:t>
      </w:r>
      <w:r>
        <w:rPr>
          <w:rFonts w:ascii="宋体" w:hAnsi="宋体"/>
          <w:bCs/>
          <w:sz w:val="24"/>
          <w:highlight w:val="white"/>
          <w:lang w:eastAsia="zh-CN"/>
        </w:rPr>
        <w:t>日</w:t>
      </w:r>
      <w:r>
        <w:rPr>
          <w:rFonts w:hint="eastAsia" w:ascii="宋体" w:hAnsi="宋体" w:cs="Arial"/>
          <w:sz w:val="24"/>
          <w:highlight w:val="white"/>
          <w:lang w:eastAsia="zh-CN"/>
        </w:rPr>
        <w:t>对基金资产进行估值后，将净值结果以双方约定的方式提交给基金托管人，经基金托管人复核无误后，以约定的方式将复核结果提交给基金管理人，由基金管理人依据基金合同和有关法律法规对外公布。</w:t>
      </w:r>
    </w:p>
    <w:p>
      <w:pPr>
        <w:numPr>
          <w:ilvl w:val="0"/>
          <w:numId w:val="13"/>
        </w:numPr>
        <w:snapToGrid w:val="0"/>
        <w:spacing w:line="360" w:lineRule="auto"/>
        <w:ind w:left="0" w:firstLine="480"/>
        <w:rPr>
          <w:rFonts w:ascii="宋体" w:hAnsi="宋体" w:cs="Arial"/>
          <w:sz w:val="24"/>
          <w:lang w:eastAsia="zh-CN"/>
        </w:rPr>
      </w:pPr>
      <w:r>
        <w:rPr>
          <w:rFonts w:hint="eastAsia" w:ascii="宋体" w:hAnsi="宋体" w:cs="Arial"/>
          <w:sz w:val="24"/>
          <w:highlight w:val="white"/>
          <w:lang w:eastAsia="zh-CN"/>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（二）基金资产估值方法和特殊情形的处理</w:t>
      </w:r>
    </w:p>
    <w:p>
      <w:pPr>
        <w:numPr>
          <w:ilvl w:val="0"/>
          <w:numId w:val="14"/>
        </w:numPr>
        <w:snapToGrid w:val="0"/>
        <w:spacing w:line="360" w:lineRule="auto"/>
        <w:rPr>
          <w:rFonts w:ascii="宋体" w:hAnsi="宋体" w:cs="Arial"/>
          <w:sz w:val="24"/>
        </w:rPr>
      </w:pPr>
      <w:r>
        <w:rPr>
          <w:rFonts w:hint="eastAsia" w:ascii="宋体" w:hAnsi="宋体" w:cs="Arial"/>
          <w:sz w:val="24"/>
          <w:highlight w:val="white"/>
        </w:rPr>
        <w:t>估值对象</w:t>
      </w:r>
    </w:p>
    <w:p>
      <w:pPr>
        <w:widowControl/>
        <w:spacing w:after="120" w:line="300" w:lineRule="atLeast"/>
        <w:ind w:firstLine="480"/>
        <w:rPr>
          <w:rFonts w:ascii="宋体" w:hAnsi="宋体" w:cs="宋体"/>
          <w:color w:val="000000"/>
          <w:sz w:val="24"/>
          <w:lang w:eastAsia="zh-CN"/>
        </w:rPr>
      </w:pPr>
      <w:r>
        <w:rPr>
          <w:rFonts w:ascii="宋体" w:hAnsi="宋体"/>
          <w:bCs/>
          <w:sz w:val="24"/>
          <w:highlight w:val="white"/>
          <w:lang w:eastAsia="zh-CN"/>
        </w:rPr>
        <w:t>基金所拥有的股票、债券和银行存款本息、应收款项、其它投资等资产及负债。</w:t>
      </w:r>
    </w:p>
    <w:p>
      <w:pPr>
        <w:numPr>
          <w:ilvl w:val="0"/>
          <w:numId w:val="14"/>
        </w:numPr>
        <w:snapToGrid w:val="0"/>
        <w:spacing w:line="360" w:lineRule="auto"/>
        <w:rPr>
          <w:rFonts w:ascii="宋体" w:hAnsi="宋体" w:cs="Arial"/>
          <w:sz w:val="24"/>
        </w:rPr>
      </w:pPr>
      <w:r>
        <w:rPr>
          <w:rFonts w:hint="eastAsia" w:ascii="宋体" w:hAnsi="宋体" w:cs="Arial"/>
          <w:sz w:val="24"/>
          <w:highlight w:val="white"/>
        </w:rPr>
        <w:t>估值方法</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（2）处于未上市期间的有价证券应区分如下情况处理：</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1）送股、转增股、配股和公开增发的新股，按估值日在证券交易所挂牌的同一股票的估值方法估值；该日无交易的，以最近一日的市价（收盘价）估值；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2）首次公开发行未上市的股票，采用估值技术确定公允价值；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（3）对于已上市或已挂牌转让的不含权固定收益品种，选取估值日第三方估值基准服务机构提供的相应品种当日的估值全价进行估值。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（4）对于已上市或已挂牌转让的含权固定收益品种，选取估值日第三方估值基准服务机构提供的相应品种当日的唯一估值全价或推荐估值全价进行估值。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对于含投资者回售权的固定收益品种，行使回售权的，在回售登记日至实际收款日期间选取第三方估值基准服务机构提供的相应品种的唯一估值全价或推荐估值全价进行估值。回售登记期截止日（含当日）后未行使回售权的按照长待偿期所对应的价格进行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5）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（6）对于未上市或未挂牌转让且不存在活跃市场的固定收益品种，采用在当前情况下适用并且有足够可利用数据和其他信息支持的估值技术确定其公允价值。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（7）期货合约以估值当日结算价进行估值，估值当日无结算价的，且最近交易日后经济环境未发生重大变化的，采用最近交易日结算价估值。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（8）本基金投资期权，根据相关法律法规以及监管部门的规定估值。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（9）本基金参与融资业务的，按照相关法律法规、监管部门和行业协会的相关规定进行估值。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（10）本基金参与转融通证券出借业务的，按照相关法律法规和行业协会的相关规定进行估值。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（11）本基金投资存托凭证的估值核算，依照境内上市交易的股票执行。</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（12）如有充分理由表明按上述方法进行估值不能客观反映其公允价值的，基金管理人可根据具体情况与基金托管人商定后，按最能反映公允价值的价格估值。</w:t>
      </w:r>
    </w:p>
    <w:p>
      <w:pPr>
        <w:spacing w:line="360" w:lineRule="auto"/>
        <w:ind w:firstLine="480"/>
        <w:rPr>
          <w:rFonts w:ascii="宋体" w:hAnsi="宋体"/>
          <w:bCs/>
          <w:sz w:val="24"/>
          <w:highlight w:val="white"/>
          <w:lang w:eastAsia="zh-CN"/>
        </w:rPr>
      </w:pPr>
      <w:r>
        <w:rPr>
          <w:rFonts w:ascii="宋体" w:hAnsi="宋体"/>
          <w:bCs/>
          <w:sz w:val="24"/>
          <w:highlight w:val="white"/>
          <w:lang w:eastAsia="zh-CN"/>
        </w:rPr>
        <w:t>（13）相关法律法规以及监管部门有强制规定的，从其规定。如有新增事项，按国家最新规定估值。</w:t>
      </w:r>
    </w:p>
    <w:p>
      <w:pPr>
        <w:spacing w:line="360" w:lineRule="auto"/>
        <w:ind w:firstLine="480"/>
        <w:rPr>
          <w:rFonts w:ascii="宋体" w:hAnsi="宋体"/>
          <w:lang w:eastAsia="zh-CN"/>
        </w:rPr>
      </w:pPr>
      <w:r>
        <w:rPr>
          <w:rFonts w:hint="eastAsia" w:ascii="宋体" w:hAnsi="宋体"/>
          <w:bCs/>
          <w:sz w:val="24"/>
          <w:highlight w:val="white"/>
          <w:lang w:eastAsia="zh-CN"/>
        </w:rPr>
        <w:t>如基金管理人或基金托管人发现基金估值违反基金合同订明的估值方法、程序及相关法律法规的规定或者未能充分维护基金份额持有人利益时，应立即通知对方，共同查明原因，双方协商解决。</w:t>
      </w:r>
    </w:p>
    <w:p>
      <w:pPr>
        <w:spacing w:line="360" w:lineRule="auto"/>
        <w:ind w:firstLine="480"/>
        <w:rPr>
          <w:rFonts w:ascii="宋体" w:hAnsi="宋体"/>
          <w:lang w:eastAsia="zh-CN"/>
        </w:rPr>
      </w:pPr>
      <w:r>
        <w:rPr>
          <w:rFonts w:hint="eastAsia" w:ascii="宋体" w:hAnsi="宋体"/>
          <w:bCs/>
          <w:sz w:val="24"/>
          <w:highlight w:val="white"/>
          <w:lang w:eastAsia="zh-CN"/>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pPr>
        <w:numPr>
          <w:ilvl w:val="0"/>
          <w:numId w:val="14"/>
        </w:numPr>
        <w:snapToGrid w:val="0"/>
        <w:spacing w:line="360" w:lineRule="auto"/>
        <w:rPr>
          <w:rFonts w:ascii="宋体" w:hAnsi="宋体"/>
        </w:rPr>
      </w:pPr>
      <w:r>
        <w:rPr>
          <w:rFonts w:hint="eastAsia" w:ascii="宋体" w:hAnsi="宋体" w:cs="Arial"/>
          <w:sz w:val="24"/>
          <w:highlight w:val="white"/>
        </w:rPr>
        <w:t>特殊情形的处理</w:t>
      </w:r>
    </w:p>
    <w:p>
      <w:pPr>
        <w:snapToGrid w:val="0"/>
        <w:spacing w:line="360" w:lineRule="auto"/>
        <w:ind w:firstLine="480" w:firstLineChars="200"/>
        <w:rPr>
          <w:rStyle w:val="65"/>
          <w:rFonts w:ascii="宋体" w:hAnsi="宋体"/>
          <w:sz w:val="24"/>
          <w:lang w:eastAsia="zh-CN"/>
        </w:rPr>
      </w:pPr>
      <w:r>
        <w:rPr>
          <w:rStyle w:val="65"/>
          <w:rFonts w:hint="eastAsia" w:ascii="宋体" w:hAnsi="宋体" w:cs="Arial"/>
          <w:sz w:val="24"/>
          <w:highlight w:val="white"/>
          <w:lang w:eastAsia="zh-CN"/>
        </w:rPr>
        <w:t>基金管理人、基金托管人按估值方法的第（12）项进行估值时，所造成的误差不作为基金资产估值</w:t>
      </w:r>
      <w:r>
        <w:rPr>
          <w:rStyle w:val="65"/>
          <w:rFonts w:hint="eastAsia" w:ascii="宋体" w:hAnsi="宋体"/>
          <w:sz w:val="24"/>
          <w:highlight w:val="white"/>
          <w:lang w:eastAsia="zh-CN"/>
        </w:rPr>
        <w:t>错误处理。</w:t>
      </w:r>
    </w:p>
    <w:p>
      <w:pPr>
        <w:snapToGrid w:val="0"/>
        <w:spacing w:line="360" w:lineRule="auto"/>
        <w:ind w:firstLine="480" w:firstLineChars="200"/>
        <w:rPr>
          <w:rStyle w:val="65"/>
          <w:rFonts w:ascii="宋体" w:hAnsi="宋体"/>
          <w:sz w:val="24"/>
          <w:lang w:eastAsia="zh-CN"/>
        </w:rPr>
      </w:pPr>
      <w:r>
        <w:rPr>
          <w:rFonts w:hint="eastAsia" w:ascii="宋体" w:hAnsi="宋体"/>
          <w:bCs/>
          <w:sz w:val="24"/>
          <w:highlight w:val="white"/>
          <w:lang w:eastAsia="zh-CN"/>
        </w:rPr>
        <w:t>由于不可抗力，或证券交易所、登记结算机构、指数编制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（三）基金份额净值错误的处理方式</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基金管理人和基金托管人将采取必要、适当、合理的措施确保基金资产估值的准确性、及时性。当基金份额净值小数点后4位以内（含第4位）发生估值错误时，视为基金份额净值错误。</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基金合同的当事人应按照以下约定处理：</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1</w:t>
      </w:r>
      <w:r>
        <w:rPr>
          <w:rStyle w:val="65"/>
          <w:rFonts w:ascii="宋体" w:hAnsi="宋体" w:cs="Arial"/>
          <w:sz w:val="24"/>
          <w:highlight w:val="white"/>
          <w:lang w:eastAsia="zh-CN"/>
        </w:rPr>
        <w:t>.</w:t>
      </w:r>
      <w:r>
        <w:rPr>
          <w:rStyle w:val="65"/>
          <w:rFonts w:hint="eastAsia" w:ascii="宋体" w:hAnsi="宋体" w:cs="Arial"/>
          <w:sz w:val="24"/>
          <w:highlight w:val="white"/>
          <w:lang w:eastAsia="zh-CN"/>
        </w:rPr>
        <w:t>估值错误类型</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本基金运作过程中，如果由于基金管理人或基金托管人、或登记结算机构、或销售机构、或投资人自身的过错造成估值错误，导致其他当事人遭受损失的，过错的责任人应当对由于该估值错误遭受损失当事人（“受损方”）的直接损失按下述“估值错误处理原则”给予赔偿，承担赔偿责任。</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上述估值错误的主要类型包括但不限于：资料申报差错、数据传输差错、数据计算差错、系统故障差错、下达指令差错等。</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2</w:t>
      </w:r>
      <w:r>
        <w:rPr>
          <w:rStyle w:val="65"/>
          <w:rFonts w:ascii="宋体" w:hAnsi="宋体" w:cs="Arial"/>
          <w:sz w:val="24"/>
          <w:highlight w:val="white"/>
          <w:lang w:eastAsia="zh-CN"/>
        </w:rPr>
        <w:t>.</w:t>
      </w:r>
      <w:r>
        <w:rPr>
          <w:rStyle w:val="65"/>
          <w:rFonts w:hint="eastAsia" w:ascii="宋体" w:hAnsi="宋体" w:cs="Arial"/>
          <w:sz w:val="24"/>
          <w:highlight w:val="white"/>
          <w:lang w:eastAsia="zh-CN"/>
        </w:rPr>
        <w:t>估值错误处理原则</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（2）估值错误的责任方对有关当事人的直接损失负责，不对间接损失负责，并且仅对估值错误的有关直接当事人负责，不对第三方负责。</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（4）估值错误调整采用尽量恢复至假设未发生估值错误的正确情形的方式。</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3</w:t>
      </w:r>
      <w:r>
        <w:rPr>
          <w:rStyle w:val="65"/>
          <w:rFonts w:ascii="宋体" w:hAnsi="宋体" w:cs="Arial"/>
          <w:sz w:val="24"/>
          <w:highlight w:val="white"/>
          <w:lang w:eastAsia="zh-CN"/>
        </w:rPr>
        <w:t>.</w:t>
      </w:r>
      <w:r>
        <w:rPr>
          <w:rStyle w:val="65"/>
          <w:rFonts w:hint="eastAsia" w:ascii="宋体" w:hAnsi="宋体" w:cs="Arial"/>
          <w:sz w:val="24"/>
          <w:highlight w:val="white"/>
          <w:lang w:eastAsia="zh-CN"/>
        </w:rPr>
        <w:t>估值错误处理程序</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估值错误被发现后，有关的当事人应当及时进行处理，处理的程序如下：</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（1）查明估值错误发生的原因，列明所有的当事人，并根据估值错误发生的原因确定估值错误的责任方；</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（2）根据估值错误处理原则或当事人协商的方法对因估值错误造成的损失进行评估；</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（3）根据估值错误处理原则或当事人协商的方法由估值错误的责任方进行更正和赔偿损失；</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（4）根据估值错误处理的方法，需要修改基金登记结算机构交易数据的，由基金登记结算机构进行更正，并就估值错误的更正向有关当事人进行确认。</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4</w:t>
      </w:r>
      <w:r>
        <w:rPr>
          <w:rStyle w:val="65"/>
          <w:rFonts w:ascii="宋体" w:hAnsi="宋体" w:cs="Arial"/>
          <w:sz w:val="24"/>
          <w:highlight w:val="white"/>
          <w:lang w:eastAsia="zh-CN"/>
        </w:rPr>
        <w:t>.</w:t>
      </w:r>
      <w:r>
        <w:rPr>
          <w:rStyle w:val="65"/>
          <w:rFonts w:hint="eastAsia" w:ascii="宋体" w:hAnsi="宋体" w:cs="Arial"/>
          <w:sz w:val="24"/>
          <w:highlight w:val="white"/>
          <w:lang w:eastAsia="zh-CN"/>
        </w:rPr>
        <w:t>基金份额净值估值错误处理的方法如下：</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（1）基金份额净值计算出现错误时，基金管理人应当立即予以纠正，通报基金托管人，并采取合理的措施防止损失进一步扩大。</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（2）错误偏差达到基金份额净值的0.25%时，基金管理人应当通报基金托管人并报中国证监会备案；错误偏差达到基金份额净值的0.5%时，基金管理人应当公告，并报中国证监会备案。</w:t>
      </w:r>
    </w:p>
    <w:p>
      <w:pPr>
        <w:widowControl/>
        <w:spacing w:after="120" w:line="300" w:lineRule="atLeast"/>
        <w:ind w:firstLine="480"/>
        <w:rPr>
          <w:rFonts w:ascii="宋体" w:hAnsi="宋体" w:cs="宋体"/>
          <w:color w:val="000000"/>
          <w:sz w:val="24"/>
          <w:lang w:eastAsia="zh-CN"/>
        </w:rPr>
      </w:pPr>
      <w:r>
        <w:rPr>
          <w:rStyle w:val="65"/>
          <w:rFonts w:hint="eastAsia" w:ascii="宋体" w:hAnsi="宋体" w:cs="Arial"/>
          <w:sz w:val="24"/>
          <w:highlight w:val="white"/>
          <w:lang w:eastAsia="zh-CN"/>
        </w:rPr>
        <w:t>（3）前述内容如法律法规或监管机关另有规定的，从其规定处理。</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（四）暂停估值的情形</w:t>
      </w:r>
    </w:p>
    <w:p>
      <w:pPr>
        <w:spacing w:line="360" w:lineRule="auto"/>
        <w:ind w:firstLine="480" w:firstLineChars="200"/>
        <w:rPr>
          <w:rFonts w:ascii="宋体" w:hAnsi="宋体"/>
          <w:bCs/>
          <w:sz w:val="24"/>
          <w:lang w:eastAsia="zh-CN"/>
        </w:rPr>
      </w:pPr>
      <w:r>
        <w:rPr>
          <w:rFonts w:ascii="宋体" w:hAnsi="宋体" w:cs="宋体"/>
          <w:bCs/>
          <w:sz w:val="24"/>
          <w:highlight w:val="white"/>
          <w:lang w:eastAsia="zh-CN"/>
        </w:rPr>
        <w:t>1.基金投资所涉及的证券交易市场遇法定节假日或因其他原因暂停营业时；</w:t>
      </w:r>
    </w:p>
    <w:p>
      <w:pPr>
        <w:spacing w:line="360" w:lineRule="auto"/>
        <w:ind w:firstLine="480" w:firstLineChars="200"/>
        <w:rPr>
          <w:rFonts w:ascii="宋体" w:hAnsi="宋体"/>
          <w:bCs/>
          <w:sz w:val="24"/>
          <w:lang w:eastAsia="zh-CN"/>
        </w:rPr>
      </w:pPr>
      <w:r>
        <w:rPr>
          <w:rFonts w:ascii="宋体" w:hAnsi="宋体" w:cs="宋体"/>
          <w:bCs/>
          <w:sz w:val="24"/>
          <w:highlight w:val="white"/>
          <w:lang w:eastAsia="zh-CN"/>
        </w:rPr>
        <w:t>2.因不可抗力或其他情形致使基金管理人、基金托管人无法准确评估基金资产价值时；</w:t>
      </w:r>
    </w:p>
    <w:p>
      <w:pPr>
        <w:spacing w:line="360" w:lineRule="auto"/>
        <w:ind w:firstLine="480" w:firstLineChars="200"/>
        <w:rPr>
          <w:rFonts w:ascii="宋体" w:hAnsi="宋体"/>
          <w:bCs/>
          <w:sz w:val="24"/>
          <w:lang w:eastAsia="zh-CN"/>
        </w:rPr>
      </w:pPr>
      <w:r>
        <w:rPr>
          <w:rFonts w:ascii="宋体" w:hAnsi="宋体" w:cs="宋体"/>
          <w:bCs/>
          <w:sz w:val="24"/>
          <w:highlight w:val="white"/>
          <w:lang w:eastAsia="zh-CN"/>
        </w:rPr>
        <w:t>3.当前一估值日基金资产净值50%以上的资产出现无可参考的活跃市场价格且采用估值技术仍导致公允价值存在重大不确定性时，经与基金托管人协商确认后，基金管理人应当暂停估值；</w:t>
      </w:r>
    </w:p>
    <w:p>
      <w:pPr>
        <w:spacing w:line="360" w:lineRule="auto"/>
        <w:ind w:firstLine="480" w:firstLineChars="200"/>
        <w:rPr>
          <w:rFonts w:ascii="宋体" w:hAnsi="宋体"/>
          <w:bCs/>
          <w:sz w:val="24"/>
          <w:lang w:eastAsia="zh-CN"/>
        </w:rPr>
      </w:pPr>
      <w:r>
        <w:rPr>
          <w:rFonts w:ascii="宋体" w:hAnsi="宋体" w:cs="宋体"/>
          <w:bCs/>
          <w:sz w:val="24"/>
          <w:highlight w:val="white"/>
          <w:lang w:eastAsia="zh-CN"/>
        </w:rPr>
        <w:t>4.法律法规规定、中国证监会和基金合同认定的其它情形。</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（五）基金会计制度</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按国家有关部门规定的会计制度执行。</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（六）基金账册的建立</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基金管理人进行基金会计核算并编制基金财务会计报告。基金管理人、基金托管人分别独立地设置、记录和保管本基金的全套账册。基金托管人按规定制作相关账册并与基金管理人核对。若基金管理人和基金托管人对会计处理方法存在分歧，应以基金管理人的处理方法为准。若当日核对不符，暂时无法查找到错账的原因而影响到基金净值的计算和公告的，以基金管理人的账册为准。</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（七）基金财务报表与报告的编制和复核</w:t>
      </w:r>
    </w:p>
    <w:p>
      <w:pPr>
        <w:numPr>
          <w:ilvl w:val="0"/>
          <w:numId w:val="15"/>
        </w:numPr>
        <w:snapToGrid w:val="0"/>
        <w:spacing w:line="360" w:lineRule="auto"/>
        <w:ind w:left="0" w:firstLine="480"/>
        <w:rPr>
          <w:rStyle w:val="65"/>
          <w:rFonts w:ascii="宋体" w:hAnsi="宋体"/>
          <w:sz w:val="24"/>
        </w:rPr>
      </w:pPr>
      <w:r>
        <w:rPr>
          <w:rStyle w:val="65"/>
          <w:rFonts w:hint="eastAsia" w:ascii="宋体" w:hAnsi="宋体"/>
          <w:sz w:val="24"/>
          <w:highlight w:val="white"/>
        </w:rPr>
        <w:t>财务报表的编制</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基金财务报表由基金管理人编制，基金托管人复核。</w:t>
      </w:r>
    </w:p>
    <w:p>
      <w:pPr>
        <w:numPr>
          <w:ilvl w:val="0"/>
          <w:numId w:val="15"/>
        </w:numPr>
        <w:snapToGrid w:val="0"/>
        <w:spacing w:line="360" w:lineRule="auto"/>
        <w:ind w:left="0" w:firstLine="480"/>
        <w:rPr>
          <w:rStyle w:val="65"/>
          <w:rFonts w:ascii="宋体" w:hAnsi="宋体"/>
          <w:sz w:val="24"/>
        </w:rPr>
      </w:pPr>
      <w:r>
        <w:rPr>
          <w:rStyle w:val="65"/>
          <w:rFonts w:hint="eastAsia" w:ascii="宋体" w:hAnsi="宋体"/>
          <w:sz w:val="24"/>
          <w:highlight w:val="white"/>
        </w:rPr>
        <w:t>报表复核</w:t>
      </w:r>
    </w:p>
    <w:p>
      <w:pPr>
        <w:snapToGrid w:val="0"/>
        <w:spacing w:line="360" w:lineRule="auto"/>
        <w:ind w:firstLine="480" w:firstLineChars="200"/>
        <w:rPr>
          <w:rStyle w:val="65"/>
          <w:rFonts w:ascii="宋体" w:hAnsi="宋体"/>
          <w:sz w:val="24"/>
          <w:lang w:eastAsia="zh-CN"/>
        </w:rPr>
      </w:pPr>
      <w:r>
        <w:rPr>
          <w:rFonts w:hint="eastAsia" w:ascii="宋体" w:hAnsi="宋体" w:cs="Arial"/>
          <w:sz w:val="24"/>
          <w:highlight w:val="white"/>
          <w:lang w:eastAsia="zh-CN"/>
        </w:rPr>
        <w:t>基金托管人应当按照相关法律、行政法规、中国证监会的规定和基金合同的约定，对基金管理人编制的基金资产净值、基金份额净值、基金份额申购赎回对价、基金定期报告、更新的招募说明书、基金产品资料概要、基金清算报告等公开披露的相关基金信息进行复核、审查，并向基金管理人进行书面或电子确认。</w:t>
      </w:r>
    </w:p>
    <w:p>
      <w:pPr>
        <w:numPr>
          <w:ilvl w:val="0"/>
          <w:numId w:val="15"/>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财务报表的编制与复核时间安排</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应当在每月结束后5个工作日内完成月度报表的编制，并将月度报表以双方认可方式发送给基金托管人复核；在季度结束之日起15个工作日内完成基金季度报告的编制，并将季度报表以双方认可方式发送给基金托管人复核；基金招募说明书、产品资料概要的信息发生重大变更的，基金管理人应当在三个工作日内，更新基金招募说明书、产品资料概要并登载在规定网站上；基金招募说明书、产品资料概要其他信息发生变更的，基金管理人至少每年更新一次，基金管理人应至少给基金托管人留出两个工作日复核。基金终止运作的，基金管理人不再更新基金招募说明书、产品资料概要。中期报告在上半年结束之日起两个月内予以公告；年度报告在在每年结束之日起三个月内公告。《基金合同》生效不足两个月的，可以不编制当期季度报告、中期报告或者年度报告。</w:t>
      </w:r>
    </w:p>
    <w:p>
      <w:pPr>
        <w:pStyle w:val="68"/>
        <w:snapToGrid w:val="0"/>
        <w:spacing w:line="360" w:lineRule="auto"/>
        <w:rPr>
          <w:rFonts w:ascii="宋体" w:hAnsi="宋体" w:cs="Arial"/>
          <w:sz w:val="24"/>
          <w:szCs w:val="24"/>
          <w:lang w:eastAsia="zh-CN"/>
        </w:rPr>
      </w:pPr>
      <w:r>
        <w:rPr>
          <w:rFonts w:hint="eastAsia" w:ascii="宋体" w:hAnsi="宋体" w:cs="Arial"/>
          <w:sz w:val="24"/>
          <w:szCs w:val="24"/>
          <w:highlight w:val="white"/>
          <w:lang w:eastAsia="zh-CN"/>
        </w:rPr>
        <w:t>基金管理人应留足充分的时间，便于基金托管人复核相关报表及报告。</w:t>
      </w:r>
    </w:p>
    <w:p>
      <w:pPr>
        <w:pStyle w:val="68"/>
        <w:snapToGrid w:val="0"/>
        <w:spacing w:line="360" w:lineRule="auto"/>
        <w:ind w:left="420" w:firstLine="0"/>
        <w:rPr>
          <w:rFonts w:ascii="宋体" w:hAnsi="宋体" w:cs="Arial"/>
          <w:sz w:val="24"/>
          <w:szCs w:val="24"/>
          <w:lang w:eastAsia="zh-CN"/>
        </w:rPr>
      </w:pPr>
    </w:p>
    <w:p>
      <w:pPr>
        <w:pStyle w:val="2"/>
        <w:numPr>
          <w:ilvl w:val="0"/>
          <w:numId w:val="1"/>
        </w:numPr>
        <w:spacing w:line="360" w:lineRule="auto"/>
        <w:jc w:val="center"/>
        <w:rPr>
          <w:rFonts w:ascii="宋体" w:hAnsi="宋体"/>
          <w:sz w:val="28"/>
          <w:szCs w:val="28"/>
        </w:rPr>
      </w:pPr>
      <w:bookmarkStart w:id="165" w:name="_Toc295833014"/>
      <w:bookmarkEnd w:id="165"/>
      <w:bookmarkStart w:id="166" w:name="_Toc295833013"/>
      <w:bookmarkEnd w:id="166"/>
      <w:bookmarkStart w:id="167" w:name="_Toc295833685"/>
      <w:bookmarkEnd w:id="167"/>
      <w:bookmarkStart w:id="168" w:name="_Toc295832646"/>
      <w:bookmarkEnd w:id="168"/>
      <w:bookmarkStart w:id="169" w:name="_Toc295833684"/>
      <w:bookmarkEnd w:id="169"/>
      <w:bookmarkStart w:id="170" w:name="_Toc295832953"/>
      <w:bookmarkEnd w:id="170"/>
      <w:bookmarkStart w:id="171" w:name="_Toc295832647"/>
      <w:bookmarkEnd w:id="171"/>
      <w:bookmarkStart w:id="172" w:name="_Toc295832954"/>
      <w:bookmarkEnd w:id="172"/>
      <w:r>
        <w:rPr>
          <w:rFonts w:ascii="宋体" w:hAnsi="宋体" w:cs="Arial"/>
          <w:sz w:val="24"/>
          <w:szCs w:val="24"/>
          <w:highlight w:val="white"/>
          <w:lang w:eastAsia="zh-CN"/>
        </w:rPr>
        <w:br w:type="page"/>
      </w:r>
      <w:bookmarkStart w:id="173" w:name="_Toc295832955"/>
      <w:bookmarkEnd w:id="173"/>
      <w:bookmarkStart w:id="174" w:name="_Toc295832648"/>
      <w:bookmarkEnd w:id="174"/>
      <w:bookmarkStart w:id="175" w:name="_Toc295833686"/>
      <w:bookmarkEnd w:id="175"/>
      <w:bookmarkStart w:id="176" w:name="_Toc295833015"/>
      <w:bookmarkEnd w:id="176"/>
      <w:bookmarkStart w:id="177" w:name="_Toc270669860"/>
      <w:bookmarkStart w:id="178" w:name="_Toc124325893"/>
      <w:bookmarkStart w:id="179" w:name="_Toc450839475"/>
      <w:r>
        <w:rPr>
          <w:rFonts w:hint="eastAsia" w:ascii="宋体" w:hAnsi="宋体"/>
          <w:sz w:val="28"/>
          <w:szCs w:val="28"/>
          <w:highlight w:val="white"/>
        </w:rPr>
        <w:t>基金收益分配</w:t>
      </w:r>
      <w:bookmarkEnd w:id="177"/>
      <w:bookmarkEnd w:id="178"/>
      <w:bookmarkEnd w:id="179"/>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（一）基金收益分配的原则</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1</w:t>
      </w:r>
      <w:r>
        <w:rPr>
          <w:rFonts w:ascii="宋体" w:hAnsi="宋体" w:cs="Arial"/>
          <w:sz w:val="24"/>
          <w:highlight w:val="white"/>
          <w:lang w:eastAsia="zh-CN"/>
        </w:rPr>
        <w:t>.</w:t>
      </w:r>
      <w:r>
        <w:rPr>
          <w:rFonts w:hint="eastAsia" w:ascii="宋体" w:hAnsi="宋体" w:cs="Arial"/>
          <w:sz w:val="24"/>
          <w:highlight w:val="white"/>
          <w:lang w:eastAsia="zh-CN"/>
        </w:rPr>
        <w:t>本基金收益分配方式采用现金分红；</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2</w:t>
      </w:r>
      <w:r>
        <w:rPr>
          <w:rFonts w:ascii="宋体" w:hAnsi="宋体" w:cs="Arial"/>
          <w:sz w:val="24"/>
          <w:highlight w:val="white"/>
          <w:lang w:eastAsia="zh-CN"/>
        </w:rPr>
        <w:t>.</w:t>
      </w:r>
      <w:r>
        <w:rPr>
          <w:rFonts w:hint="eastAsia" w:ascii="宋体" w:hAnsi="宋体" w:cs="Arial"/>
          <w:sz w:val="24"/>
          <w:highlight w:val="white"/>
          <w:lang w:eastAsia="zh-CN"/>
        </w:rPr>
        <w:t>每一基金份额享有同等分配权；</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3</w:t>
      </w:r>
      <w:r>
        <w:rPr>
          <w:rFonts w:ascii="宋体" w:hAnsi="宋体" w:cs="Arial"/>
          <w:sz w:val="24"/>
          <w:highlight w:val="white"/>
          <w:lang w:eastAsia="zh-CN"/>
        </w:rPr>
        <w:t>.</w:t>
      </w:r>
      <w:r>
        <w:rPr>
          <w:rFonts w:hint="eastAsia" w:ascii="宋体" w:hAnsi="宋体" w:cs="Arial"/>
          <w:sz w:val="24"/>
          <w:highlight w:val="white"/>
          <w:lang w:eastAsia="zh-CN"/>
        </w:rPr>
        <w:t>在符合以下有关基金分红条件的情形下，基金管理人可以根据实际情况进行收益分配，具体分配方案以届时的公告为准：</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1）本基金收益评价日核定的基金累计报酬率超过业绩比较基准同期累计报酬率或者基金可供分配利润金额大于0元时，基金管理人可进行收益分配，累计报酬率计算方式详见招募说明书；若《基金合同》生效不满3个月可不进行收益分配；</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2）当基金收益分配根据基金相对业绩比较基准的超额收益率决定时，基于本基金的特点，本基金收益分配无需以弥补亏损为前提，收益分配后基金份额净值有可能低于面值；当基金收益分配根据基金可供分配利润金额决定时，本基金收益分配后基金份额净值不能低于面值，即基金收益分配基准日的基金份额净值减去每单位基金份额收益分配金额后不能低于面值；</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4</w:t>
      </w:r>
      <w:r>
        <w:rPr>
          <w:rFonts w:ascii="宋体" w:hAnsi="宋体" w:cs="Arial"/>
          <w:sz w:val="24"/>
          <w:highlight w:val="white"/>
          <w:lang w:eastAsia="zh-CN"/>
        </w:rPr>
        <w:t>.</w:t>
      </w:r>
      <w:r>
        <w:rPr>
          <w:rFonts w:hint="eastAsia" w:ascii="宋体" w:hAnsi="宋体" w:cs="Arial"/>
          <w:sz w:val="24"/>
          <w:highlight w:val="white"/>
          <w:lang w:eastAsia="zh-CN"/>
        </w:rPr>
        <w:t>在对基金份额持有人利益无实质不利影响的前提下，基金管理人可调整基金收益的分配原则，不需召开基金份额持有人大会审议；</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5</w:t>
      </w:r>
      <w:r>
        <w:rPr>
          <w:rFonts w:ascii="宋体" w:hAnsi="宋体" w:cs="Arial"/>
          <w:sz w:val="24"/>
          <w:highlight w:val="white"/>
          <w:lang w:eastAsia="zh-CN"/>
        </w:rPr>
        <w:t>.</w:t>
      </w:r>
      <w:r>
        <w:rPr>
          <w:rFonts w:hint="eastAsia" w:ascii="宋体" w:hAnsi="宋体" w:cs="Arial"/>
          <w:sz w:val="24"/>
          <w:highlight w:val="white"/>
          <w:lang w:eastAsia="zh-CN"/>
        </w:rPr>
        <w:t>法律法规或监管机关另有规定的，从其规定。证券交易所或基金登记结算机构对收益分配另有规定的，从其规定。</w:t>
      </w:r>
    </w:p>
    <w:p>
      <w:pPr>
        <w:snapToGrid w:val="0"/>
        <w:spacing w:line="360" w:lineRule="auto"/>
        <w:ind w:firstLine="480"/>
        <w:rPr>
          <w:rFonts w:ascii="宋体" w:hAnsi="宋体" w:cs="Arial"/>
          <w:sz w:val="24"/>
          <w:lang w:eastAsia="zh-CN"/>
        </w:rPr>
      </w:pPr>
      <w:r>
        <w:rPr>
          <w:rFonts w:hint="eastAsia" w:ascii="宋体" w:hAnsi="宋体" w:cs="Arial"/>
          <w:sz w:val="24"/>
          <w:highlight w:val="white"/>
          <w:lang w:eastAsia="zh-CN"/>
        </w:rPr>
        <w:t>（二）基金收益分配的时间和程序</w:t>
      </w:r>
    </w:p>
    <w:p>
      <w:pPr>
        <w:numPr>
          <w:ilvl w:val="0"/>
          <w:numId w:val="16"/>
        </w:numPr>
        <w:snapToGrid w:val="0"/>
        <w:spacing w:line="360" w:lineRule="auto"/>
        <w:ind w:left="0" w:firstLine="426"/>
        <w:rPr>
          <w:rStyle w:val="65"/>
          <w:rFonts w:ascii="宋体" w:hAnsi="宋体"/>
          <w:sz w:val="24"/>
          <w:lang w:eastAsia="zh-CN"/>
        </w:rPr>
      </w:pPr>
      <w:r>
        <w:rPr>
          <w:rFonts w:hint="eastAsia" w:ascii="宋体" w:hAnsi="宋体"/>
          <w:bCs/>
          <w:sz w:val="24"/>
          <w:highlight w:val="white"/>
          <w:lang w:eastAsia="zh-CN"/>
        </w:rPr>
        <w:t>本基金收益分配方案由基金管理人拟定，并由基金托管人复核</w:t>
      </w:r>
      <w:r>
        <w:rPr>
          <w:rFonts w:hint="eastAsia" w:ascii="宋体" w:hAnsi="宋体"/>
          <w:bCs/>
          <w:highlight w:val="white"/>
          <w:lang w:eastAsia="zh-CN"/>
        </w:rPr>
        <w:t>后确定</w:t>
      </w:r>
      <w:r>
        <w:rPr>
          <w:rFonts w:hint="eastAsia" w:ascii="宋体" w:hAnsi="宋体"/>
          <w:bCs/>
          <w:sz w:val="24"/>
          <w:highlight w:val="white"/>
          <w:lang w:eastAsia="zh-CN"/>
        </w:rPr>
        <w:t>，按规定在</w:t>
      </w:r>
      <w:r>
        <w:rPr>
          <w:rFonts w:ascii="宋体" w:hAnsi="宋体"/>
          <w:bCs/>
          <w:sz w:val="24"/>
          <w:highlight w:val="white"/>
          <w:lang w:eastAsia="zh-CN"/>
        </w:rPr>
        <w:t>规</w:t>
      </w:r>
      <w:r>
        <w:rPr>
          <w:rFonts w:hint="eastAsia" w:ascii="宋体" w:hAnsi="宋体"/>
          <w:bCs/>
          <w:sz w:val="24"/>
          <w:highlight w:val="white"/>
          <w:lang w:eastAsia="zh-CN"/>
        </w:rPr>
        <w:t>定媒介公告。</w:t>
      </w:r>
    </w:p>
    <w:p>
      <w:pPr>
        <w:numPr>
          <w:ilvl w:val="0"/>
          <w:numId w:val="16"/>
        </w:numPr>
        <w:snapToGrid w:val="0"/>
        <w:spacing w:line="360" w:lineRule="auto"/>
        <w:ind w:left="0" w:firstLine="426"/>
        <w:rPr>
          <w:rStyle w:val="65"/>
          <w:rFonts w:ascii="宋体" w:hAnsi="宋体"/>
          <w:sz w:val="24"/>
          <w:lang w:eastAsia="zh-CN"/>
        </w:rPr>
      </w:pPr>
      <w:r>
        <w:rPr>
          <w:rStyle w:val="65"/>
          <w:rFonts w:hint="eastAsia" w:ascii="宋体" w:hAnsi="宋体"/>
          <w:sz w:val="24"/>
          <w:highlight w:val="white"/>
          <w:lang w:eastAsia="zh-CN"/>
        </w:rPr>
        <w:t>法律法规或监管机关另有规定的，从其规定。</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（三）</w:t>
      </w:r>
      <w:r>
        <w:rPr>
          <w:rFonts w:ascii="宋体" w:hAnsi="宋体"/>
          <w:bCs/>
          <w:sz w:val="24"/>
          <w:highlight w:val="white"/>
          <w:lang w:eastAsia="zh-CN"/>
        </w:rPr>
        <w:t>基金收益分配中发生的费用</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基金收益分配时所发生的银行转账或其他手续费用由投资者自行承担。</w:t>
      </w: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180" w:name="_Toc295832650"/>
      <w:bookmarkEnd w:id="180"/>
      <w:bookmarkStart w:id="181" w:name="_Toc295832957"/>
      <w:bookmarkEnd w:id="181"/>
      <w:bookmarkStart w:id="182" w:name="_Toc295833017"/>
      <w:bookmarkEnd w:id="182"/>
      <w:bookmarkStart w:id="183" w:name="_Toc295833688"/>
      <w:bookmarkEnd w:id="183"/>
      <w:bookmarkStart w:id="184" w:name="_Toc270669861"/>
      <w:bookmarkStart w:id="185" w:name="_Toc450839476"/>
      <w:bookmarkStart w:id="186" w:name="_Toc124325894"/>
      <w:r>
        <w:rPr>
          <w:rFonts w:hint="eastAsia" w:ascii="宋体" w:hAnsi="宋体"/>
          <w:sz w:val="28"/>
          <w:szCs w:val="28"/>
          <w:highlight w:val="white"/>
        </w:rPr>
        <w:t>基金信息披露</w:t>
      </w:r>
      <w:bookmarkEnd w:id="184"/>
      <w:bookmarkEnd w:id="185"/>
      <w:bookmarkEnd w:id="186"/>
    </w:p>
    <w:p>
      <w:pPr>
        <w:snapToGrid w:val="0"/>
        <w:spacing w:line="360" w:lineRule="auto"/>
        <w:ind w:firstLine="480"/>
        <w:rPr>
          <w:rFonts w:ascii="宋体" w:hAnsi="宋体" w:cs="Arial"/>
          <w:sz w:val="24"/>
        </w:rPr>
      </w:pPr>
      <w:r>
        <w:rPr>
          <w:rFonts w:hint="eastAsia" w:ascii="宋体" w:hAnsi="宋体" w:cs="Arial"/>
          <w:sz w:val="24"/>
          <w:highlight w:val="white"/>
        </w:rPr>
        <w:t>（一）保密义务</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基金托管人和基金管理人应按法律法规、基金合同的有关规定进行信息披露，拟公开披露的信息在公开披露之前应予保密。除按《基金法》、基金合同、《信息披露办法》、</w:t>
      </w:r>
      <w:r>
        <w:rPr>
          <w:rFonts w:ascii="宋体" w:hAnsi="宋体" w:cs="Arial"/>
          <w:sz w:val="24"/>
          <w:highlight w:val="white"/>
          <w:lang w:eastAsia="zh-CN"/>
        </w:rPr>
        <w:t>《</w:t>
      </w:r>
      <w:r>
        <w:rPr>
          <w:rFonts w:hint="eastAsia" w:ascii="宋体" w:hAnsi="宋体" w:cs="Arial"/>
          <w:sz w:val="24"/>
          <w:highlight w:val="white"/>
          <w:lang w:eastAsia="zh-CN"/>
        </w:rPr>
        <w:t>流动性</w:t>
      </w:r>
      <w:r>
        <w:rPr>
          <w:rFonts w:ascii="宋体" w:hAnsi="宋体" w:cs="Arial"/>
          <w:sz w:val="24"/>
          <w:highlight w:val="white"/>
          <w:lang w:eastAsia="zh-CN"/>
        </w:rPr>
        <w:t>风险管理规定》</w:t>
      </w:r>
      <w:r>
        <w:rPr>
          <w:rFonts w:hint="eastAsia" w:ascii="宋体" w:hAnsi="宋体" w:cs="Arial"/>
          <w:sz w:val="24"/>
          <w:highlight w:val="white"/>
          <w:lang w:eastAsia="zh-CN"/>
        </w:rPr>
        <w:t>及其他有关规定进行信息披露外，基金管理人和基金托管人对基金运作中产生的信息以及从对方获得的业务信息应予保密。但是，如下情况不应视为基金管理人或基金托管人违反保密义务：</w:t>
      </w:r>
    </w:p>
    <w:p>
      <w:pPr>
        <w:numPr>
          <w:ilvl w:val="0"/>
          <w:numId w:val="17"/>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非因基金管理人和基金托管人的原因导致保密信息被披露、泄露或公开；</w:t>
      </w:r>
    </w:p>
    <w:p>
      <w:pPr>
        <w:numPr>
          <w:ilvl w:val="0"/>
          <w:numId w:val="17"/>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基金管理人和基金托管人为遵守和服从法院判决或裁定、仲裁裁决或中国证监会等监管机构的命令、决定所做出的信息披露或公开。</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（二）信息披露的内容</w:t>
      </w:r>
    </w:p>
    <w:p>
      <w:pPr>
        <w:snapToGrid w:val="0"/>
        <w:spacing w:line="360" w:lineRule="auto"/>
        <w:ind w:firstLine="480" w:firstLineChars="200"/>
        <w:rPr>
          <w:rFonts w:ascii="宋体" w:hAnsi="宋体" w:cs="Arial"/>
          <w:sz w:val="24"/>
          <w:lang w:eastAsia="zh-CN"/>
        </w:rPr>
      </w:pPr>
      <w:r>
        <w:rPr>
          <w:rFonts w:ascii="宋体" w:hAnsi="宋体" w:cs="Arial"/>
          <w:sz w:val="24"/>
          <w:highlight w:val="white"/>
          <w:lang w:eastAsia="zh-CN"/>
        </w:rPr>
        <w:t>基金的信息披露内容主要包括基金招募说明书、基金合同、托管协议、基金产品资料概要、基金份额发售公告、基金合同生效公告、基金份额折算日公告、基金份额折算结果公告、基金份额上市交易公告书、基金净值信息、基金份额申购、赎回对价、基金份额申购赎回清单公告、基金定期报告（包括基金年度报告、基金中期报告和基金季度报告）、临时报告、澄清公告、清算报告、基金份额持有人大会决议、中国证监会规定的其他信息。基金年度报告中的财务会计报告应当经过符合《证券法》规定的会计师事务所审计后，方可披露。</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（三）基金托管人和基金管理人在信息披露中的职责和信息披露程序</w:t>
      </w:r>
    </w:p>
    <w:p>
      <w:pPr>
        <w:numPr>
          <w:ilvl w:val="0"/>
          <w:numId w:val="18"/>
        </w:numPr>
        <w:snapToGrid w:val="0"/>
        <w:spacing w:line="360" w:lineRule="auto"/>
        <w:rPr>
          <w:rStyle w:val="65"/>
          <w:rFonts w:ascii="宋体" w:hAnsi="宋体"/>
          <w:sz w:val="24"/>
        </w:rPr>
      </w:pPr>
      <w:r>
        <w:rPr>
          <w:rStyle w:val="65"/>
          <w:rFonts w:hint="eastAsia" w:ascii="宋体" w:hAnsi="宋体"/>
          <w:sz w:val="24"/>
          <w:highlight w:val="white"/>
        </w:rPr>
        <w:t>职责</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托管人和基金管理人在信息披露过程中应以保护基金份额持有人利益为宗旨，诚实信用，严守秘密。基金管理人负责办理与基金有关的信息披露事宜，基金托管人应当按照相关法律法规和基金合同的约定，对于本章第（二）条规定的应由基金托管人复核的事项进行复核，基金托管人复核无误后，由基金管理人予以公布。</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基金管理人和基金托管人应积极配合、互相监督，保证按照法定的方式和时限履行信息披露义务。</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基金管理人应当在中国证监会规定的时间内，将应予披露的基金信息通过规定媒介披露。根据法律法规应由基金托管人公开披露的信息，基金托管人将通过规定媒介公开披露。</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当出现下述情况时，基金管理人和基金托管人可暂停或延迟披露基金相关信息：</w:t>
      </w:r>
    </w:p>
    <w:p>
      <w:pPr>
        <w:spacing w:line="360" w:lineRule="auto"/>
        <w:ind w:firstLine="480" w:firstLineChars="200"/>
        <w:rPr>
          <w:rFonts w:ascii="宋体" w:hAnsi="宋体"/>
          <w:bCs/>
          <w:sz w:val="24"/>
          <w:lang w:eastAsia="zh-CN"/>
        </w:rPr>
      </w:pPr>
      <w:r>
        <w:rPr>
          <w:rFonts w:hint="eastAsia" w:ascii="宋体" w:hAnsi="宋体" w:cs="宋体"/>
          <w:bCs/>
          <w:sz w:val="24"/>
          <w:highlight w:val="white"/>
          <w:lang w:eastAsia="zh-CN"/>
        </w:rPr>
        <w:t>1</w:t>
      </w:r>
      <w:r>
        <w:rPr>
          <w:rFonts w:hint="eastAsia" w:ascii="宋体" w:hAnsi="宋体"/>
          <w:bCs/>
          <w:sz w:val="24"/>
          <w:highlight w:val="white"/>
          <w:lang w:eastAsia="zh-CN"/>
        </w:rPr>
        <w:t>）不可抗力；</w:t>
      </w:r>
    </w:p>
    <w:p>
      <w:pPr>
        <w:spacing w:line="360" w:lineRule="auto"/>
        <w:ind w:firstLine="480" w:firstLineChars="200"/>
        <w:rPr>
          <w:rFonts w:ascii="宋体" w:hAnsi="宋体"/>
          <w:bCs/>
          <w:sz w:val="24"/>
          <w:lang w:eastAsia="zh-CN"/>
        </w:rPr>
      </w:pPr>
      <w:r>
        <w:rPr>
          <w:rFonts w:hint="eastAsia" w:ascii="宋体" w:hAnsi="宋体" w:cs="宋体"/>
          <w:bCs/>
          <w:sz w:val="24"/>
          <w:highlight w:val="white"/>
          <w:lang w:eastAsia="zh-CN"/>
        </w:rPr>
        <w:t>2</w:t>
      </w:r>
      <w:r>
        <w:rPr>
          <w:rFonts w:hint="eastAsia" w:ascii="宋体" w:hAnsi="宋体"/>
          <w:bCs/>
          <w:sz w:val="24"/>
          <w:highlight w:val="white"/>
          <w:lang w:eastAsia="zh-CN"/>
        </w:rPr>
        <w:t>）发生暂停估值的情形；</w:t>
      </w:r>
    </w:p>
    <w:p>
      <w:pPr>
        <w:spacing w:line="360" w:lineRule="auto"/>
        <w:ind w:firstLine="480" w:firstLineChars="200"/>
        <w:rPr>
          <w:rFonts w:ascii="宋体" w:hAnsi="宋体" w:cs="Arial"/>
          <w:sz w:val="24"/>
          <w:lang w:eastAsia="zh-CN"/>
        </w:rPr>
      </w:pPr>
      <w:r>
        <w:rPr>
          <w:rFonts w:hint="eastAsia" w:ascii="宋体" w:hAnsi="宋体" w:cs="宋体"/>
          <w:bCs/>
          <w:sz w:val="24"/>
          <w:highlight w:val="white"/>
          <w:lang w:eastAsia="zh-CN"/>
        </w:rPr>
        <w:t>3</w:t>
      </w:r>
      <w:r>
        <w:rPr>
          <w:rFonts w:hint="eastAsia" w:ascii="宋体" w:hAnsi="宋体"/>
          <w:bCs/>
          <w:sz w:val="24"/>
          <w:highlight w:val="white"/>
          <w:lang w:eastAsia="zh-CN"/>
        </w:rPr>
        <w:t>）法律法规、基金合同或中国证监会规定的其他情况。</w:t>
      </w:r>
    </w:p>
    <w:p>
      <w:pPr>
        <w:numPr>
          <w:ilvl w:val="0"/>
          <w:numId w:val="18"/>
        </w:numPr>
        <w:snapToGrid w:val="0"/>
        <w:spacing w:line="360" w:lineRule="auto"/>
        <w:rPr>
          <w:rStyle w:val="65"/>
          <w:rFonts w:ascii="宋体" w:hAnsi="宋体"/>
          <w:sz w:val="24"/>
        </w:rPr>
      </w:pPr>
      <w:r>
        <w:rPr>
          <w:rStyle w:val="65"/>
          <w:rFonts w:hint="eastAsia" w:ascii="宋体" w:hAnsi="宋体"/>
          <w:sz w:val="24"/>
          <w:highlight w:val="white"/>
        </w:rPr>
        <w:t>程序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按有关规定须经基金托管人复核的信息披露文件，由基金管理人起草、并经基金托管人复核后由基金管理人公告。发生基金合同中规定需要披露的事项时，按基金合同规定公布。</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对于需要基金托管人登载在规定网站的基金合同和基金托管协议，基金管理人应指定专人及时向基金托管人发送，并注明披露时间，以便基金托管人可与基金管理人同步进行信息披露。如有变更，双方可以协商约定。对于基金管理人未及时向基金托管人发送基金合同和基金托管协议，造成基金托管人无法按照法律法规或本协议约定进行同步信息披露的，基金托管人不承担责任。</w:t>
      </w:r>
    </w:p>
    <w:p>
      <w:pPr>
        <w:numPr>
          <w:ilvl w:val="0"/>
          <w:numId w:val="18"/>
        </w:numPr>
        <w:snapToGrid w:val="0"/>
        <w:spacing w:line="360" w:lineRule="auto"/>
        <w:rPr>
          <w:rStyle w:val="65"/>
          <w:rFonts w:ascii="宋体" w:hAnsi="宋体"/>
          <w:sz w:val="24"/>
        </w:rPr>
      </w:pPr>
      <w:r>
        <w:rPr>
          <w:rStyle w:val="65"/>
          <w:rFonts w:hint="eastAsia" w:ascii="宋体" w:hAnsi="宋体"/>
          <w:sz w:val="24"/>
          <w:highlight w:val="white"/>
        </w:rPr>
        <w:t>信息文本的存放</w:t>
      </w:r>
    </w:p>
    <w:p>
      <w:pPr>
        <w:pStyle w:val="68"/>
        <w:snapToGrid w:val="0"/>
        <w:spacing w:line="360" w:lineRule="auto"/>
        <w:ind w:firstLine="480" w:firstLineChars="200"/>
        <w:rPr>
          <w:rFonts w:ascii="宋体" w:hAnsi="宋体" w:cs="Arial"/>
          <w:sz w:val="24"/>
          <w:szCs w:val="24"/>
          <w:lang w:eastAsia="zh-CN"/>
        </w:rPr>
      </w:pPr>
      <w:r>
        <w:rPr>
          <w:rFonts w:hint="eastAsia" w:ascii="宋体" w:hAnsi="宋体" w:cs="Arial"/>
          <w:sz w:val="24"/>
          <w:szCs w:val="24"/>
          <w:highlight w:val="white"/>
          <w:lang w:eastAsia="zh-CN"/>
        </w:rPr>
        <w:t>予以披露的信息文本，存放在基金管理人/基金托管人办公场所，投资者可以免费查阅。在支付工本费后可在合理时间获得上述文件的复制件或复印件。基金管理人和基金托管人应保证文本的内容与所公告的内容完全一致。</w:t>
      </w:r>
    </w:p>
    <w:p>
      <w:pPr>
        <w:pStyle w:val="68"/>
        <w:snapToGrid w:val="0"/>
        <w:spacing w:line="360" w:lineRule="auto"/>
        <w:ind w:firstLine="480" w:firstLineChars="200"/>
        <w:rPr>
          <w:rFonts w:ascii="宋体" w:hAnsi="宋体" w:cs="Arial"/>
          <w:sz w:val="24"/>
          <w:szCs w:val="24"/>
          <w:lang w:eastAsia="zh-CN"/>
        </w:rPr>
      </w:pP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187" w:name="_Toc295833690"/>
      <w:bookmarkEnd w:id="187"/>
      <w:bookmarkStart w:id="188" w:name="_Toc295833019"/>
      <w:bookmarkEnd w:id="188"/>
      <w:bookmarkStart w:id="189" w:name="_Toc295832959"/>
      <w:bookmarkEnd w:id="189"/>
      <w:bookmarkStart w:id="190" w:name="_Toc295832652"/>
      <w:bookmarkEnd w:id="190"/>
      <w:bookmarkStart w:id="191" w:name="_Toc270669862"/>
      <w:bookmarkStart w:id="192" w:name="_Toc450839477"/>
      <w:bookmarkStart w:id="193" w:name="_Toc124325895"/>
      <w:r>
        <w:rPr>
          <w:rFonts w:hint="eastAsia" w:ascii="宋体" w:hAnsi="宋体"/>
          <w:sz w:val="28"/>
          <w:szCs w:val="28"/>
          <w:highlight w:val="white"/>
        </w:rPr>
        <w:t>基金费用</w:t>
      </w:r>
      <w:bookmarkEnd w:id="191"/>
      <w:bookmarkEnd w:id="192"/>
      <w:bookmarkEnd w:id="193"/>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（一）基金管理费的计提比例和计提方法</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本基金的管理费按前一日基金资产净值的0.50%年费率计提。管理费的计算方法如下：</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H＝E×0.50%÷当年天数</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H为每日应计提的基金管理费</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E为前一日的基金资产净值</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（二）基金托管费的计提比例和计提方法</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本基金的托管费按前一日基金资产净值的0.10%年费率计提。托管费的计算方法如下：</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H＝E×0.10%÷当年天数</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H为每日应计提的基金托管费</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E为前一日的基金资产净值</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账户开户费用、证券/期货交易费用、基金的银行汇划费用、账户维护费、基金合同生效后的信息披露费用、基金份额持有人大会费用、基金合同生效后与基金有关的会计师费、律师费、诉讼费和仲裁费、基金上市初费及月费、登记结算费用、IOPV计算与发布费用、收益分配中发生的费用等根据有关法律法规、基金合同及相应协议的规定，列入当期基金费用。</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基金管理人作为纳税主体有义务与所在地方税务机关保持联系和沟通，确认相关纳税品种和相关计算方式。产品成立后基金管理人须及时向基金托管人提供增值税相关税率方案和参数方案。</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（四）不列入基金费用的项目</w:t>
      </w:r>
    </w:p>
    <w:p>
      <w:pPr>
        <w:numPr>
          <w:ilvl w:val="0"/>
          <w:numId w:val="19"/>
        </w:numPr>
        <w:snapToGrid w:val="0"/>
        <w:spacing w:line="360" w:lineRule="auto"/>
        <w:ind w:left="0" w:firstLine="426"/>
        <w:rPr>
          <w:rStyle w:val="65"/>
          <w:rFonts w:ascii="宋体" w:hAnsi="宋体"/>
          <w:sz w:val="24"/>
          <w:lang w:eastAsia="zh-CN"/>
        </w:rPr>
      </w:pPr>
      <w:r>
        <w:rPr>
          <w:rStyle w:val="65"/>
          <w:rFonts w:hint="eastAsia" w:ascii="宋体" w:hAnsi="宋体"/>
          <w:sz w:val="24"/>
          <w:highlight w:val="white"/>
          <w:lang w:eastAsia="zh-CN"/>
        </w:rPr>
        <w:t>基金管理人和基金托管人因未履行或未完全履行义务导致的费用支出或基金财产的损失；</w:t>
      </w:r>
    </w:p>
    <w:p>
      <w:pPr>
        <w:numPr>
          <w:ilvl w:val="0"/>
          <w:numId w:val="19"/>
        </w:numPr>
        <w:snapToGrid w:val="0"/>
        <w:spacing w:line="360" w:lineRule="auto"/>
        <w:ind w:left="0" w:firstLine="426"/>
        <w:rPr>
          <w:rStyle w:val="65"/>
          <w:rFonts w:ascii="宋体" w:hAnsi="宋体"/>
          <w:sz w:val="24"/>
          <w:lang w:eastAsia="zh-CN"/>
        </w:rPr>
      </w:pPr>
      <w:r>
        <w:rPr>
          <w:rStyle w:val="65"/>
          <w:rFonts w:hint="eastAsia" w:ascii="宋体" w:hAnsi="宋体"/>
          <w:sz w:val="24"/>
          <w:highlight w:val="white"/>
          <w:lang w:eastAsia="zh-CN"/>
        </w:rPr>
        <w:t>基金管理人和基金托管人处理与基金运作无关的事项发生的费用；</w:t>
      </w:r>
    </w:p>
    <w:p>
      <w:pPr>
        <w:numPr>
          <w:ilvl w:val="0"/>
          <w:numId w:val="19"/>
        </w:numPr>
        <w:snapToGrid w:val="0"/>
        <w:spacing w:line="360" w:lineRule="auto"/>
        <w:ind w:left="0" w:firstLine="426"/>
        <w:rPr>
          <w:rStyle w:val="65"/>
          <w:rFonts w:ascii="宋体" w:hAnsi="宋体"/>
          <w:sz w:val="24"/>
          <w:lang w:eastAsia="zh-CN"/>
        </w:rPr>
      </w:pPr>
      <w:r>
        <w:rPr>
          <w:rStyle w:val="65"/>
          <w:rFonts w:hint="eastAsia" w:ascii="宋体" w:hAnsi="宋体"/>
          <w:sz w:val="24"/>
          <w:highlight w:val="white"/>
          <w:lang w:eastAsia="zh-CN"/>
        </w:rPr>
        <w:t>基金合同生效前的相关费用；</w:t>
      </w:r>
    </w:p>
    <w:p>
      <w:pPr>
        <w:numPr>
          <w:ilvl w:val="0"/>
          <w:numId w:val="19"/>
        </w:numPr>
        <w:snapToGrid w:val="0"/>
        <w:spacing w:line="360" w:lineRule="auto"/>
        <w:ind w:left="0" w:firstLine="426"/>
        <w:rPr>
          <w:rStyle w:val="65"/>
          <w:rFonts w:ascii="宋体" w:hAnsi="宋体" w:cs="宋体"/>
          <w:sz w:val="24"/>
          <w:lang w:eastAsia="zh-CN"/>
        </w:rPr>
      </w:pPr>
      <w:r>
        <w:rPr>
          <w:rFonts w:ascii="宋体" w:hAnsi="宋体" w:cs="宋体"/>
          <w:sz w:val="24"/>
          <w:highlight w:val="white"/>
          <w:lang w:eastAsia="zh-CN"/>
        </w:rPr>
        <w:t>标的指数许可使用费。标的指数许可使用费由基金管理人承担，不得从基金财产中列支；</w:t>
      </w:r>
    </w:p>
    <w:p>
      <w:pPr>
        <w:numPr>
          <w:ilvl w:val="0"/>
          <w:numId w:val="19"/>
        </w:numPr>
        <w:snapToGrid w:val="0"/>
        <w:spacing w:line="360" w:lineRule="auto"/>
        <w:ind w:left="0" w:firstLine="426"/>
        <w:rPr>
          <w:rStyle w:val="65"/>
          <w:rFonts w:ascii="宋体" w:hAnsi="宋体"/>
          <w:sz w:val="24"/>
          <w:lang w:eastAsia="zh-CN"/>
        </w:rPr>
      </w:pPr>
      <w:r>
        <w:rPr>
          <w:rStyle w:val="65"/>
          <w:rFonts w:hint="eastAsia" w:ascii="宋体" w:hAnsi="宋体"/>
          <w:sz w:val="24"/>
          <w:highlight w:val="white"/>
          <w:lang w:eastAsia="zh-CN"/>
        </w:rPr>
        <w:t>其他根据相关法律法规及中国证监会的有关规</w:t>
      </w:r>
      <w:bookmarkStart w:id="194" w:name="_Hlt88827255"/>
      <w:bookmarkEnd w:id="194"/>
      <w:r>
        <w:rPr>
          <w:rStyle w:val="65"/>
          <w:rFonts w:hint="eastAsia" w:ascii="宋体" w:hAnsi="宋体"/>
          <w:sz w:val="24"/>
          <w:highlight w:val="white"/>
          <w:lang w:eastAsia="zh-CN"/>
        </w:rPr>
        <w:t>定不得列入基金费用的项目。</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本基金运作前产生的可以从基金财产中列支的相关费用由基金管理人垫付，运作后由基金管理人于次日起三个工作日内向基金托管人发送划付指令，经基金托管人复核后于三个工作日内从基金资产中一次性支付给基金管理人。</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（六）基金管理费、基金托管费的复核程序、支付方式和时间</w:t>
      </w:r>
    </w:p>
    <w:p>
      <w:pPr>
        <w:numPr>
          <w:ilvl w:val="0"/>
          <w:numId w:val="20"/>
        </w:numPr>
        <w:snapToGrid w:val="0"/>
        <w:spacing w:line="360" w:lineRule="auto"/>
        <w:ind w:left="0" w:firstLine="480"/>
        <w:rPr>
          <w:rStyle w:val="65"/>
          <w:rFonts w:ascii="宋体" w:hAnsi="宋体"/>
          <w:sz w:val="24"/>
        </w:rPr>
      </w:pPr>
      <w:r>
        <w:rPr>
          <w:rStyle w:val="65"/>
          <w:rFonts w:hint="eastAsia" w:ascii="宋体" w:hAnsi="宋体"/>
          <w:sz w:val="24"/>
          <w:highlight w:val="white"/>
        </w:rPr>
        <w:t>复核程序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基金托管人对基金管理人计提的基金管理费、基金托管费等，根据本托管协议和基金合同的有关规定进行复核。</w:t>
      </w:r>
    </w:p>
    <w:p>
      <w:pPr>
        <w:numPr>
          <w:ilvl w:val="0"/>
          <w:numId w:val="20"/>
        </w:numPr>
        <w:snapToGrid w:val="0"/>
        <w:spacing w:line="360" w:lineRule="auto"/>
        <w:ind w:left="0" w:firstLine="480"/>
        <w:rPr>
          <w:rStyle w:val="65"/>
          <w:rFonts w:ascii="宋体" w:hAnsi="宋体"/>
          <w:sz w:val="24"/>
        </w:rPr>
      </w:pPr>
      <w:r>
        <w:rPr>
          <w:rStyle w:val="65"/>
          <w:rFonts w:hint="eastAsia" w:ascii="宋体" w:hAnsi="宋体"/>
          <w:sz w:val="24"/>
          <w:highlight w:val="white"/>
        </w:rPr>
        <w:t>支付方式和时间</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基金管理费、基金托管费每日计提，按月支付</w:t>
      </w:r>
      <w:r>
        <w:rPr>
          <w:rFonts w:ascii="宋体" w:hAnsi="宋体" w:cs="Arial"/>
          <w:sz w:val="24"/>
          <w:highlight w:val="white"/>
          <w:lang w:eastAsia="zh-CN"/>
        </w:rPr>
        <w:t>，</w:t>
      </w:r>
      <w:r>
        <w:rPr>
          <w:rFonts w:hint="eastAsia" w:ascii="宋体" w:hAnsi="宋体" w:cs="Arial"/>
          <w:sz w:val="24"/>
          <w:highlight w:val="white"/>
          <w:lang w:eastAsia="zh-CN"/>
        </w:rPr>
        <w:t>经基金管理人与基金托管人核对一致后，基金托管人根据与基金管理人协商一致的方式于次月前3个工作日内从基金财产中一次性支付。若遇法定节假日、休息日或不可抗力等致使无法按时支付的，顺延至最近可支付日支付。</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（七）违规处理方式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基金托管人发现基金管理人违反《基金法》、基金合同、《运作办法》及其他有关规定从基金财产中列支费用时，基金托管人可要求基金管理人予以说明解释，如基金管理人无正当理由，基金托管人可拒绝支付。</w:t>
      </w:r>
    </w:p>
    <w:p>
      <w:pPr>
        <w:pStyle w:val="2"/>
        <w:numPr>
          <w:ilvl w:val="0"/>
          <w:numId w:val="1"/>
        </w:numPr>
        <w:spacing w:line="360" w:lineRule="auto"/>
        <w:jc w:val="center"/>
        <w:rPr>
          <w:rFonts w:ascii="宋体" w:hAnsi="宋体"/>
          <w:sz w:val="28"/>
          <w:szCs w:val="28"/>
          <w:lang w:eastAsia="zh-CN"/>
        </w:rPr>
      </w:pPr>
      <w:bookmarkStart w:id="195" w:name="_Toc295833021"/>
      <w:bookmarkEnd w:id="195"/>
      <w:bookmarkStart w:id="196" w:name="_Toc295833693"/>
      <w:bookmarkEnd w:id="196"/>
      <w:bookmarkStart w:id="197" w:name="_Toc295833022"/>
      <w:bookmarkEnd w:id="197"/>
      <w:bookmarkStart w:id="198" w:name="_Toc295832963"/>
      <w:bookmarkEnd w:id="198"/>
      <w:bookmarkStart w:id="199" w:name="_Toc295833694"/>
      <w:bookmarkEnd w:id="199"/>
      <w:bookmarkStart w:id="200" w:name="_Toc295832961"/>
      <w:bookmarkEnd w:id="200"/>
      <w:bookmarkStart w:id="201" w:name="_Toc295832962"/>
      <w:bookmarkEnd w:id="201"/>
      <w:bookmarkStart w:id="202" w:name="_Toc295833692"/>
      <w:bookmarkEnd w:id="202"/>
      <w:bookmarkStart w:id="203" w:name="_Toc295833023"/>
      <w:bookmarkEnd w:id="203"/>
      <w:r>
        <w:rPr>
          <w:rFonts w:ascii="宋体" w:hAnsi="宋体" w:cs="Arial"/>
          <w:sz w:val="24"/>
          <w:highlight w:val="white"/>
          <w:lang w:eastAsia="zh-CN"/>
        </w:rPr>
        <w:br w:type="page"/>
      </w:r>
      <w:bookmarkStart w:id="204" w:name="_Toc124325896"/>
      <w:bookmarkStart w:id="205" w:name="_Toc450839478"/>
      <w:bookmarkStart w:id="206" w:name="_Toc270669863"/>
      <w:r>
        <w:rPr>
          <w:rFonts w:hint="eastAsia" w:ascii="宋体" w:hAnsi="宋体"/>
          <w:sz w:val="28"/>
          <w:szCs w:val="28"/>
          <w:highlight w:val="white"/>
          <w:lang w:eastAsia="zh-CN"/>
        </w:rPr>
        <w:t>基金份额持有人名册的保管</w:t>
      </w:r>
      <w:bookmarkEnd w:id="204"/>
      <w:bookmarkEnd w:id="205"/>
      <w:bookmarkEnd w:id="206"/>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基金份额持有人名册至少应包括基金份额持有人的名称和持有的基金份额。基金份额持有人名册由登记结算机构根据基金管理人的指令编制和保管，保存期</w:t>
      </w:r>
      <w:r>
        <w:rPr>
          <w:rFonts w:hint="eastAsia" w:ascii="宋体" w:hAnsi="宋体"/>
          <w:bCs/>
          <w:sz w:val="24"/>
          <w:highlight w:val="white"/>
          <w:lang w:eastAsia="zh-CN"/>
        </w:rPr>
        <w:t>自基金账户销户之日起</w:t>
      </w:r>
      <w:r>
        <w:rPr>
          <w:rFonts w:hint="eastAsia" w:ascii="宋体" w:hAnsi="宋体" w:cs="Arial"/>
          <w:sz w:val="24"/>
          <w:highlight w:val="white"/>
          <w:lang w:eastAsia="zh-CN"/>
        </w:rPr>
        <w:t>不少于20年，基金管理人和基金托管人应分别保管基金份额持有人名册，保存期不少于20年，</w:t>
      </w:r>
      <w:r>
        <w:rPr>
          <w:rFonts w:ascii="宋体" w:hAnsi="宋体"/>
          <w:sz w:val="24"/>
          <w:highlight w:val="white"/>
          <w:lang w:eastAsia="zh-CN"/>
        </w:rPr>
        <w:t>法律法规另有规定或有权机关另有要求的除外</w:t>
      </w:r>
      <w:r>
        <w:rPr>
          <w:rFonts w:hint="eastAsia" w:ascii="宋体" w:hAnsi="宋体" w:cs="Arial"/>
          <w:sz w:val="24"/>
          <w:highlight w:val="white"/>
          <w:lang w:eastAsia="zh-CN"/>
        </w:rPr>
        <w:t>。如不能妥善保管，则按相关法规承担责任。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应及时以双方认可的方式向基金托管人提交基金份额持有人名册。每年6月30日和12月31日的基金份额持有人名册应于下月前十个工作日内提交；基金合同生效日、基金合同终止日等涉及到基金重要事项日期的基金份额持有人名册应于发生日后十个工作日内提交。</w:t>
      </w:r>
      <w:r>
        <w:rPr>
          <w:rFonts w:hint="eastAsia" w:ascii="宋体" w:hAnsi="宋体"/>
          <w:sz w:val="24"/>
          <w:highlight w:val="white"/>
          <w:lang w:eastAsia="zh-CN"/>
        </w:rPr>
        <w:t>因基金管理人未能及时提供或提供信息有误的，托管人不承担相关责任。</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在基金托管人要求或编制中期报告和年报前，基金管理人应将有关资料送交基金托管人，不得无故拒绝或延误提供，并保证其的真实性、准确性和完整性。</w:t>
      </w:r>
      <w:r>
        <w:rPr>
          <w:rFonts w:hint="eastAsia" w:ascii="宋体" w:hAnsi="宋体"/>
          <w:sz w:val="24"/>
          <w:highlight w:val="white"/>
          <w:lang w:eastAsia="zh-CN"/>
        </w:rPr>
        <w:t>基金托管人不得将所保管的基金份额持有人名册用于基金托管业务以外的其他用途，并应遵守保密义务。</w:t>
      </w:r>
    </w:p>
    <w:p>
      <w:pPr>
        <w:pStyle w:val="2"/>
        <w:numPr>
          <w:ilvl w:val="0"/>
          <w:numId w:val="1"/>
        </w:numPr>
        <w:spacing w:line="360" w:lineRule="auto"/>
        <w:jc w:val="center"/>
        <w:rPr>
          <w:rFonts w:ascii="宋体" w:hAnsi="宋体"/>
          <w:sz w:val="28"/>
          <w:szCs w:val="28"/>
          <w:lang w:eastAsia="zh-CN"/>
        </w:rPr>
      </w:pPr>
      <w:bookmarkStart w:id="207" w:name="_Toc295832966"/>
      <w:bookmarkEnd w:id="207"/>
      <w:bookmarkStart w:id="208" w:name="_Toc295832965"/>
      <w:bookmarkEnd w:id="208"/>
      <w:bookmarkStart w:id="209" w:name="_Toc295833026"/>
      <w:bookmarkEnd w:id="209"/>
      <w:bookmarkStart w:id="210" w:name="_Toc295833697"/>
      <w:bookmarkEnd w:id="210"/>
      <w:bookmarkStart w:id="211" w:name="_Toc295833025"/>
      <w:bookmarkEnd w:id="211"/>
      <w:bookmarkStart w:id="212" w:name="_Toc295833696"/>
      <w:bookmarkEnd w:id="212"/>
      <w:r>
        <w:rPr>
          <w:rFonts w:ascii="宋体" w:hAnsi="宋体" w:cs="Arial"/>
          <w:sz w:val="24"/>
          <w:szCs w:val="24"/>
          <w:highlight w:val="white"/>
          <w:lang w:eastAsia="zh-CN"/>
        </w:rPr>
        <w:br w:type="page"/>
      </w:r>
      <w:bookmarkStart w:id="213" w:name="_Toc295833698"/>
      <w:bookmarkEnd w:id="213"/>
      <w:bookmarkStart w:id="214" w:name="_Toc295833027"/>
      <w:bookmarkEnd w:id="214"/>
      <w:bookmarkStart w:id="215" w:name="_Toc295832967"/>
      <w:bookmarkEnd w:id="215"/>
      <w:bookmarkStart w:id="216" w:name="_Toc450839479"/>
      <w:bookmarkStart w:id="217" w:name="_Toc124325897"/>
      <w:bookmarkStart w:id="218" w:name="_Toc270669864"/>
      <w:r>
        <w:rPr>
          <w:rFonts w:hint="eastAsia" w:ascii="宋体" w:hAnsi="宋体"/>
          <w:sz w:val="28"/>
          <w:szCs w:val="28"/>
          <w:highlight w:val="white"/>
          <w:lang w:eastAsia="zh-CN"/>
        </w:rPr>
        <w:t>基金有关文件档案的保存</w:t>
      </w:r>
      <w:bookmarkEnd w:id="216"/>
      <w:bookmarkEnd w:id="217"/>
      <w:bookmarkEnd w:id="218"/>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（一）档案保存</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20 年</w:t>
      </w:r>
      <w:r>
        <w:rPr>
          <w:rFonts w:ascii="宋体" w:hAnsi="宋体"/>
          <w:sz w:val="24"/>
          <w:highlight w:val="white"/>
          <w:lang w:eastAsia="zh-CN"/>
        </w:rPr>
        <w:t>，法律法规另有规定或有权机关另有要求的除外</w:t>
      </w:r>
      <w:r>
        <w:rPr>
          <w:rFonts w:hint="eastAsia" w:ascii="宋体" w:hAnsi="宋体" w:cs="Arial"/>
          <w:sz w:val="24"/>
          <w:highlight w:val="white"/>
          <w:lang w:eastAsia="zh-CN"/>
        </w:rPr>
        <w:t>。</w:t>
      </w:r>
    </w:p>
    <w:p>
      <w:pPr>
        <w:snapToGrid w:val="0"/>
        <w:spacing w:line="360" w:lineRule="auto"/>
        <w:ind w:firstLine="480" w:firstLineChars="200"/>
        <w:rPr>
          <w:rFonts w:ascii="宋体" w:hAnsi="宋体" w:cs="Arial"/>
          <w:sz w:val="24"/>
        </w:rPr>
      </w:pPr>
      <w:r>
        <w:rPr>
          <w:rFonts w:hint="eastAsia" w:ascii="宋体" w:hAnsi="宋体" w:cs="Arial"/>
          <w:sz w:val="24"/>
          <w:highlight w:val="white"/>
        </w:rPr>
        <w:t>（二）合同档案的建立</w:t>
      </w:r>
    </w:p>
    <w:p>
      <w:pPr>
        <w:numPr>
          <w:ilvl w:val="0"/>
          <w:numId w:val="21"/>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基金管理人签署重大合同文本后，应及时将合同文本正本送达基金托管人处，</w:t>
      </w:r>
      <w:r>
        <w:rPr>
          <w:rFonts w:hint="eastAsia" w:ascii="宋体" w:hAnsi="宋体" w:cs="Arial"/>
          <w:sz w:val="24"/>
          <w:highlight w:val="white"/>
          <w:lang w:eastAsia="zh-CN"/>
        </w:rPr>
        <w:t>基金管理人应保证基金管理人和基金托管人至少各持有一份正本的原件</w:t>
      </w:r>
      <w:r>
        <w:rPr>
          <w:rStyle w:val="65"/>
          <w:rFonts w:hint="eastAsia" w:ascii="宋体" w:hAnsi="宋体"/>
          <w:sz w:val="24"/>
          <w:highlight w:val="white"/>
          <w:lang w:eastAsia="zh-CN"/>
        </w:rPr>
        <w:t>。</w:t>
      </w:r>
    </w:p>
    <w:p>
      <w:pPr>
        <w:numPr>
          <w:ilvl w:val="0"/>
          <w:numId w:val="21"/>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基金管理人应及时将与本基金账务处理、资金划拨等有关的合同、协议发送至基金托管人。</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（三）变更与协助</w:t>
      </w:r>
    </w:p>
    <w:p>
      <w:pPr>
        <w:snapToGrid w:val="0"/>
        <w:spacing w:line="360" w:lineRule="auto"/>
        <w:ind w:firstLine="480" w:firstLineChars="200"/>
        <w:rPr>
          <w:rFonts w:ascii="宋体" w:hAnsi="宋体"/>
          <w:b/>
          <w:bCs/>
          <w:sz w:val="24"/>
          <w:lang w:eastAsia="zh-CN"/>
        </w:rPr>
      </w:pPr>
      <w:r>
        <w:rPr>
          <w:rFonts w:hint="eastAsia" w:ascii="宋体" w:hAnsi="宋体" w:cs="Arial"/>
          <w:sz w:val="24"/>
          <w:highlight w:val="white"/>
          <w:lang w:eastAsia="zh-CN"/>
        </w:rPr>
        <w:t>若基金管理人/基金托管人发生变更，未变更的一方有义务协助变更后的接任人接收相应文件。</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（四）基金管理人和基金托管人应按各自职责完整保存原始凭证、记账凭证、基金账册、交易记录和重要合同等，承担保密义务并保存至少二十年以上，</w:t>
      </w:r>
      <w:r>
        <w:rPr>
          <w:rFonts w:ascii="宋体" w:hAnsi="宋体"/>
          <w:sz w:val="24"/>
          <w:highlight w:val="white"/>
          <w:lang w:eastAsia="zh-CN"/>
        </w:rPr>
        <w:t>法律法规另有规定或有权机关另有要求的除外</w:t>
      </w:r>
      <w:r>
        <w:rPr>
          <w:rFonts w:hint="eastAsia" w:ascii="宋体" w:hAnsi="宋体" w:cs="Arial"/>
          <w:sz w:val="24"/>
          <w:highlight w:val="white"/>
          <w:lang w:eastAsia="zh-CN"/>
        </w:rPr>
        <w:t>。</w:t>
      </w:r>
    </w:p>
    <w:p>
      <w:pPr>
        <w:pStyle w:val="2"/>
        <w:numPr>
          <w:ilvl w:val="0"/>
          <w:numId w:val="1"/>
        </w:numPr>
        <w:spacing w:line="360" w:lineRule="auto"/>
        <w:jc w:val="center"/>
        <w:rPr>
          <w:rFonts w:ascii="宋体" w:hAnsi="宋体"/>
          <w:szCs w:val="24"/>
          <w:lang w:eastAsia="zh-CN"/>
        </w:rPr>
      </w:pPr>
      <w:r>
        <w:rPr>
          <w:rFonts w:ascii="宋体" w:hAnsi="宋体"/>
          <w:sz w:val="24"/>
          <w:szCs w:val="24"/>
          <w:highlight w:val="white"/>
          <w:lang w:eastAsia="zh-CN"/>
        </w:rPr>
        <w:br w:type="page"/>
      </w:r>
      <w:r>
        <w:rPr>
          <w:rFonts w:hint="eastAsia" w:ascii="宋体" w:hAnsi="宋体"/>
          <w:sz w:val="28"/>
          <w:szCs w:val="28"/>
          <w:highlight w:val="white"/>
          <w:lang w:eastAsia="zh-CN"/>
        </w:rPr>
        <w:t xml:space="preserve"> </w:t>
      </w:r>
      <w:bookmarkStart w:id="219" w:name="_Toc295833700"/>
      <w:bookmarkEnd w:id="219"/>
      <w:bookmarkStart w:id="220" w:name="_Toc295832969"/>
      <w:bookmarkEnd w:id="220"/>
      <w:bookmarkStart w:id="221" w:name="_Toc295833029"/>
      <w:bookmarkEnd w:id="221"/>
      <w:bookmarkStart w:id="222" w:name="_Toc270669865"/>
      <w:bookmarkStart w:id="223" w:name="_Toc124325898"/>
      <w:bookmarkStart w:id="224" w:name="_Toc450839480"/>
      <w:bookmarkStart w:id="225" w:name="_Toc295833701"/>
      <w:r>
        <w:rPr>
          <w:rFonts w:hint="eastAsia" w:ascii="宋体" w:hAnsi="宋体"/>
          <w:sz w:val="28"/>
          <w:szCs w:val="28"/>
          <w:highlight w:val="white"/>
          <w:lang w:eastAsia="zh-CN"/>
        </w:rPr>
        <w:t>基金管理人和基金托管人的更换</w:t>
      </w:r>
      <w:bookmarkEnd w:id="222"/>
      <w:bookmarkEnd w:id="223"/>
      <w:bookmarkEnd w:id="224"/>
      <w:bookmarkEnd w:id="225"/>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（一）基金管理人的更换</w:t>
      </w:r>
    </w:p>
    <w:p>
      <w:pPr>
        <w:numPr>
          <w:ilvl w:val="0"/>
          <w:numId w:val="22"/>
        </w:numPr>
        <w:snapToGrid w:val="0"/>
        <w:spacing w:line="360" w:lineRule="auto"/>
        <w:ind w:left="0" w:firstLine="480"/>
        <w:rPr>
          <w:rStyle w:val="65"/>
          <w:rFonts w:ascii="宋体" w:hAnsi="宋体"/>
          <w:sz w:val="24"/>
        </w:rPr>
      </w:pPr>
      <w:r>
        <w:rPr>
          <w:rStyle w:val="65"/>
          <w:rFonts w:hint="eastAsia" w:ascii="宋体" w:hAnsi="宋体"/>
          <w:sz w:val="24"/>
          <w:highlight w:val="white"/>
        </w:rPr>
        <w:t>基金管理人的更换条件</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有下列情形之一的，基金管理人职责终止：</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（1）被依法取消基金管理资格；</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（2）被基金份额持有人大会解任；</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（3）依法解散、被依法撤销或被依法宣告破产；</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（4）法律法规及中国证监会规定的和《基金合同》约定的其他情形。</w:t>
      </w:r>
    </w:p>
    <w:p>
      <w:pPr>
        <w:numPr>
          <w:ilvl w:val="0"/>
          <w:numId w:val="22"/>
        </w:numPr>
        <w:snapToGrid w:val="0"/>
        <w:spacing w:line="360" w:lineRule="auto"/>
        <w:ind w:left="0" w:firstLine="480"/>
        <w:rPr>
          <w:rStyle w:val="65"/>
          <w:rFonts w:ascii="宋体" w:hAnsi="宋体"/>
          <w:sz w:val="24"/>
        </w:rPr>
      </w:pPr>
      <w:r>
        <w:rPr>
          <w:rStyle w:val="65"/>
          <w:rFonts w:hint="eastAsia" w:ascii="宋体" w:hAnsi="宋体"/>
          <w:sz w:val="24"/>
          <w:highlight w:val="white"/>
        </w:rPr>
        <w:t>基金管理人的更换程序</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（1）提名：新任基金管理人由基金托管人或由单独或合计持有10%以上（含10%）基金份额的基金份额持有人提名；</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2）决议：基金份额持有人大会在基金管理人职责终止后6个月内对被提名的基金管理人形成决议，该决议需经参加大会的基金份额持有人所持表决权的三分之二以上（含三分之二）表决通过，决议自表决通过之日起生效；</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（3）临时基金管理人：新任基金管理人产生之前，由中国证监会指定临时基金管理人；</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（4）备案：基金份额持有人大会更换基金管理人的决议须报中国证监会备案；</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（5）公告：基金管理人更换后，由基金托管人在更换基金管理人的基金份额持有人大会决议生效后2日内在规定媒介公告；</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6）交接：基金管理人职责终止的，基金管理人应妥善保管基金管理业务资料，及时向临时基金管理人或新任基金管理人办理基金管理业务的移交手续，临时基金管理人或新任基金管理人应及时接收。新任基金管理人应与基金托管人核对基金资产总值；</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（7）审计：基金管理人职责终止的，应当按照法律法规规定聘请会计师事务所对基金财产进行审计，并将审计结果予以公告，同时报中国证监会备案。审计费用从基金财产中列支；</w:t>
      </w:r>
    </w:p>
    <w:p>
      <w:pPr>
        <w:snapToGrid w:val="0"/>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（8）基金名称变更：基金管理人更换后，如果原任或新任基金管理人要求，应按其要求替换或删除基金名称中与原基金管理人有关的名称字样。</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（二）基金托管人的更换</w:t>
      </w:r>
    </w:p>
    <w:p>
      <w:pPr>
        <w:numPr>
          <w:ilvl w:val="0"/>
          <w:numId w:val="23"/>
        </w:numPr>
        <w:snapToGrid w:val="0"/>
        <w:spacing w:line="360" w:lineRule="auto"/>
        <w:ind w:left="0" w:firstLine="480"/>
        <w:rPr>
          <w:rStyle w:val="65"/>
          <w:rFonts w:ascii="宋体" w:hAnsi="宋体"/>
          <w:sz w:val="24"/>
        </w:rPr>
      </w:pPr>
      <w:r>
        <w:rPr>
          <w:rStyle w:val="65"/>
          <w:rFonts w:hint="eastAsia" w:ascii="宋体" w:hAnsi="宋体"/>
          <w:sz w:val="24"/>
          <w:highlight w:val="white"/>
        </w:rPr>
        <w:t>基金托管人的更换条件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有下列情形之一的，基金托管人职责终止：</w:t>
      </w:r>
    </w:p>
    <w:p>
      <w:pPr>
        <w:spacing w:line="360" w:lineRule="auto"/>
        <w:ind w:firstLine="480" w:firstLineChars="200"/>
        <w:rPr>
          <w:rFonts w:ascii="宋体" w:hAnsi="宋体"/>
          <w:bCs/>
          <w:sz w:val="24"/>
          <w:highlight w:val="white"/>
          <w:lang w:eastAsia="zh-CN"/>
        </w:rPr>
      </w:pPr>
      <w:r>
        <w:rPr>
          <w:rFonts w:ascii="宋体" w:hAnsi="宋体"/>
          <w:bCs/>
          <w:sz w:val="24"/>
          <w:highlight w:val="white"/>
          <w:lang w:eastAsia="zh-CN"/>
        </w:rPr>
        <w:t>（1）被依法取消基金托管资格；</w:t>
      </w:r>
    </w:p>
    <w:p>
      <w:pPr>
        <w:spacing w:line="360" w:lineRule="auto"/>
        <w:ind w:firstLine="480" w:firstLineChars="200"/>
        <w:rPr>
          <w:rFonts w:ascii="宋体" w:hAnsi="宋体"/>
          <w:bCs/>
          <w:sz w:val="24"/>
          <w:highlight w:val="white"/>
          <w:lang w:eastAsia="zh-CN"/>
        </w:rPr>
      </w:pPr>
      <w:r>
        <w:rPr>
          <w:rFonts w:ascii="宋体" w:hAnsi="宋体"/>
          <w:bCs/>
          <w:sz w:val="24"/>
          <w:highlight w:val="white"/>
          <w:lang w:eastAsia="zh-CN"/>
        </w:rPr>
        <w:t>（2）被基金份额持有人大会解任；</w:t>
      </w:r>
    </w:p>
    <w:p>
      <w:pPr>
        <w:spacing w:line="360" w:lineRule="auto"/>
        <w:ind w:firstLine="480" w:firstLineChars="200"/>
        <w:rPr>
          <w:rFonts w:ascii="宋体" w:hAnsi="宋体"/>
          <w:bCs/>
          <w:sz w:val="24"/>
          <w:highlight w:val="white"/>
          <w:lang w:eastAsia="zh-CN"/>
        </w:rPr>
      </w:pPr>
      <w:r>
        <w:rPr>
          <w:rFonts w:ascii="宋体" w:hAnsi="宋体"/>
          <w:bCs/>
          <w:sz w:val="24"/>
          <w:highlight w:val="white"/>
          <w:lang w:eastAsia="zh-CN"/>
        </w:rPr>
        <w:t>（3）依法解散、被依法撤销或被依法宣告破产；</w:t>
      </w:r>
    </w:p>
    <w:p>
      <w:pPr>
        <w:spacing w:line="360" w:lineRule="auto"/>
        <w:ind w:firstLine="480" w:firstLineChars="200"/>
        <w:rPr>
          <w:rFonts w:ascii="宋体" w:hAnsi="宋体"/>
          <w:bCs/>
          <w:sz w:val="24"/>
          <w:highlight w:val="white"/>
          <w:lang w:eastAsia="zh-CN"/>
        </w:rPr>
      </w:pPr>
      <w:r>
        <w:rPr>
          <w:rFonts w:ascii="宋体" w:hAnsi="宋体"/>
          <w:bCs/>
          <w:sz w:val="24"/>
          <w:highlight w:val="white"/>
          <w:lang w:eastAsia="zh-CN"/>
        </w:rPr>
        <w:t>（4）法律法规及中国证监会规定的和《基金合同》约定的其他情形。</w:t>
      </w:r>
    </w:p>
    <w:p>
      <w:pPr>
        <w:numPr>
          <w:ilvl w:val="0"/>
          <w:numId w:val="23"/>
        </w:numPr>
        <w:snapToGrid w:val="0"/>
        <w:spacing w:line="360" w:lineRule="auto"/>
        <w:ind w:left="0" w:firstLine="480"/>
        <w:rPr>
          <w:rStyle w:val="65"/>
          <w:rFonts w:ascii="宋体" w:hAnsi="宋体"/>
          <w:sz w:val="24"/>
        </w:rPr>
      </w:pPr>
      <w:r>
        <w:rPr>
          <w:rStyle w:val="65"/>
          <w:rFonts w:hint="eastAsia" w:ascii="宋体" w:hAnsi="宋体"/>
          <w:sz w:val="24"/>
          <w:highlight w:val="white"/>
        </w:rPr>
        <w:t>基金托管人的更换程序</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（1）提名：新任基金托管人由基金管理人或由单独或合计持有10%以上（含10%）基金份额的基金份额持有人提名；</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2）决议：基金份额持有人大会在基金托管人职责终止后6个月内对被提名的基金托管人形成决议，该决议需经参加大会的基金份额持有人所持表决权的三分之二以上（含三分之二）表决通过，决议自表决通过之日起生效；</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（3）临时基金托管人：新任基金托管人产生之前，由中国证监会指定临时基金托管人；</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（4）备案：基金份额持有人大会更换基金托管人的决议须报中国证监会备案；</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（5）公告：基金托管人更换后，由基金管理人在更换基金托管人的基金份额持有人大会决议生效后2日内在规定媒介公告；</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6）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p>
    <w:p>
      <w:pPr>
        <w:spacing w:line="360" w:lineRule="auto"/>
        <w:ind w:firstLine="480" w:firstLineChars="200"/>
        <w:rPr>
          <w:rFonts w:ascii="宋体" w:hAnsi="宋体" w:cs="Arial"/>
          <w:sz w:val="24"/>
          <w:highlight w:val="white"/>
          <w:lang w:eastAsia="zh-CN"/>
        </w:rPr>
      </w:pPr>
      <w:r>
        <w:rPr>
          <w:rFonts w:ascii="宋体" w:hAnsi="宋体" w:cs="Arial"/>
          <w:sz w:val="24"/>
          <w:highlight w:val="white"/>
          <w:lang w:eastAsia="zh-CN"/>
        </w:rPr>
        <w:t>（7）审计：基金托管人职责终止的，应当按照法律法规规定聘请会计师事务所对基金财产进行审计，并将审计结果予以公告，同时报中国证监会备案。审计费用从基金财产中列支。</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（三）基金管理人与基金托管人同时更换</w:t>
      </w:r>
    </w:p>
    <w:p>
      <w:pPr>
        <w:spacing w:line="360" w:lineRule="auto"/>
        <w:ind w:firstLine="480" w:firstLineChars="200"/>
        <w:rPr>
          <w:rFonts w:ascii="宋体" w:hAnsi="宋体"/>
          <w:bCs/>
          <w:sz w:val="24"/>
          <w:lang w:eastAsia="zh-CN"/>
        </w:rPr>
      </w:pPr>
      <w:r>
        <w:rPr>
          <w:rFonts w:ascii="宋体" w:hAnsi="宋体"/>
          <w:bCs/>
          <w:sz w:val="24"/>
          <w:highlight w:val="white"/>
          <w:lang w:eastAsia="zh-CN"/>
        </w:rPr>
        <w:t>1.提名：如果基金管理人和基金托管人同时更换，由单独或合计持有基金总份额10%以上（含10%）的基金份额持有人提名新的基金管理人和基金托管人；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2.基金管理人和基金托管人的更换分别按上述程序进行；</w:t>
      </w:r>
    </w:p>
    <w:p>
      <w:pPr>
        <w:spacing w:line="360" w:lineRule="auto"/>
        <w:ind w:firstLine="480" w:firstLineChars="200"/>
        <w:rPr>
          <w:rFonts w:ascii="宋体" w:hAnsi="宋体"/>
          <w:bCs/>
          <w:sz w:val="24"/>
          <w:lang w:eastAsia="zh-CN"/>
        </w:rPr>
      </w:pPr>
      <w:r>
        <w:rPr>
          <w:rFonts w:ascii="宋体" w:hAnsi="宋体"/>
          <w:bCs/>
          <w:sz w:val="24"/>
          <w:highlight w:val="white"/>
          <w:lang w:eastAsia="zh-CN"/>
        </w:rPr>
        <w:t>3.公告：新任基金管理人和新任基金托管人应在更换基金管理人和基金托管人的基金份额持有人大会决议生效后2日内在规定媒介上联合公告。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四）新基金管理人或临时基金管理人接收基金管理业务，或新基金托管人或临时基金托管人接收基金财产和基金托管业务前，原任基金管理人或原任基金托管人应继续履行相关职责，并保证不做出对基金份额持有人的利益造成损害的行为。原基金管理人或原基金托管人在继续履行相关职责期间，仍有权按照基金合同的规定收取基金管理费或基金托管费。</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五）本部分关于基金管理人、基金托管人更换条件和程序的约定，凡是直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pPr>
        <w:snapToGrid w:val="0"/>
        <w:spacing w:line="360" w:lineRule="auto"/>
        <w:ind w:firstLine="480" w:firstLineChars="200"/>
        <w:rPr>
          <w:rFonts w:ascii="宋体" w:hAnsi="宋体" w:cs="Arial"/>
          <w:sz w:val="24"/>
          <w:lang w:eastAsia="zh-CN"/>
        </w:rPr>
      </w:pP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226" w:name="_Toc295833703"/>
      <w:bookmarkEnd w:id="226"/>
      <w:bookmarkStart w:id="227" w:name="_Toc295833032"/>
      <w:bookmarkEnd w:id="227"/>
      <w:bookmarkStart w:id="228" w:name="_Toc295832972"/>
      <w:bookmarkEnd w:id="228"/>
      <w:bookmarkStart w:id="229" w:name="_Toc124325899"/>
      <w:bookmarkStart w:id="230" w:name="_Toc450839481"/>
      <w:bookmarkStart w:id="231" w:name="_Toc270669866"/>
      <w:r>
        <w:rPr>
          <w:rFonts w:hint="eastAsia" w:ascii="宋体" w:hAnsi="宋体"/>
          <w:sz w:val="28"/>
          <w:szCs w:val="28"/>
          <w:highlight w:val="white"/>
        </w:rPr>
        <w:t>禁止行为</w:t>
      </w:r>
      <w:bookmarkEnd w:id="229"/>
      <w:bookmarkEnd w:id="230"/>
      <w:bookmarkEnd w:id="231"/>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本协议当事人禁止从事的行为，包括但不限于：</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（一）基金管理人、基金托管人将其固有财产或者他人财产混同于基金财产从事证券投资。</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（二）基金管理人不公平地对待其管理的不同基金财产，基金托管人不公平地对待其托管的不同基金财产。</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（三）基金管理人、基金托管人利用基金财产为基金份额持有人以外的第三人牟取利益。</w:t>
      </w:r>
    </w:p>
    <w:p>
      <w:pPr>
        <w:snapToGrid w:val="0"/>
        <w:spacing w:line="360" w:lineRule="auto"/>
        <w:ind w:firstLine="480" w:firstLineChars="200"/>
        <w:rPr>
          <w:rFonts w:ascii="宋体" w:hAnsi="宋体"/>
          <w:sz w:val="24"/>
          <w:lang w:eastAsia="zh-CN"/>
        </w:rPr>
      </w:pPr>
      <w:r>
        <w:rPr>
          <w:rFonts w:hint="eastAsia" w:ascii="宋体" w:hAnsi="宋体"/>
          <w:sz w:val="24"/>
          <w:highlight w:val="white"/>
          <w:lang w:eastAsia="zh-CN"/>
        </w:rPr>
        <w:t>（四）基金管理人、基金托管人向基金份额持有人违规承诺收益或者承担损失。</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（五）基金管理人、基金托管人对他人泄露基金运作和管理过程中任何尚未按法律法规规定的方式公开披露的信息。</w:t>
      </w:r>
    </w:p>
    <w:p>
      <w:pPr>
        <w:snapToGrid w:val="0"/>
        <w:spacing w:line="360" w:lineRule="auto"/>
        <w:ind w:firstLine="480" w:firstLineChars="200"/>
        <w:rPr>
          <w:rFonts w:ascii="宋体" w:hAnsi="宋体" w:cs="Arial"/>
          <w:sz w:val="24"/>
          <w:lang w:eastAsia="zh-CN"/>
        </w:rPr>
      </w:pPr>
      <w:r>
        <w:rPr>
          <w:rFonts w:ascii="宋体" w:hAnsi="宋体" w:cs="Arial"/>
          <w:sz w:val="24"/>
          <w:highlight w:val="white"/>
          <w:lang w:eastAsia="zh-CN"/>
        </w:rPr>
        <w:t>（六）基金管理人在没有充足资金的情况下向基金托管人发出投资指令和赎回、分红资金的划拨指令，或违规向基金托管人发出指令。</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（七）基金管理人、基金托管人在行政上、财务上不独立, 其高级管理人员和其他从业人员相互兼职。</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（八）基金托管人私自动用或处分基金财产，根据基金管理人的合法指令、基金合同或托管协议的规定进行处分的除外。</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（九）基金财产用于下列投资或者活动：</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（1）承销证券；</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（2）违反规定向他人贷款或者提供担保；</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（3）从事承担无限责任的投资；</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（4）向其基金管理人、基金托管人出资；</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（5）从事内幕交易、操纵证券交易价格及其他不正当的证券交易活动；</w:t>
      </w:r>
    </w:p>
    <w:p>
      <w:pPr>
        <w:snapToGrid w:val="0"/>
        <w:spacing w:line="360" w:lineRule="auto"/>
        <w:ind w:firstLine="480" w:firstLineChars="200"/>
        <w:rPr>
          <w:rStyle w:val="65"/>
          <w:rFonts w:ascii="宋体" w:hAnsi="宋体"/>
          <w:sz w:val="24"/>
          <w:lang w:eastAsia="zh-CN"/>
        </w:rPr>
      </w:pPr>
      <w:r>
        <w:rPr>
          <w:rStyle w:val="65"/>
          <w:rFonts w:hint="eastAsia" w:ascii="宋体" w:hAnsi="宋体"/>
          <w:sz w:val="24"/>
          <w:highlight w:val="white"/>
          <w:lang w:eastAsia="zh-CN"/>
        </w:rPr>
        <w:t>（6）法律、行政法规和中国证监会规定禁止的其他活动。</w:t>
      </w:r>
    </w:p>
    <w:p>
      <w:pPr>
        <w:snapToGrid w:val="0"/>
        <w:spacing w:line="360" w:lineRule="auto"/>
        <w:ind w:firstLine="480" w:firstLineChars="200"/>
        <w:rPr>
          <w:rStyle w:val="65"/>
          <w:rFonts w:ascii="宋体" w:hAnsi="宋体"/>
          <w:sz w:val="24"/>
          <w:lang w:eastAsia="zh-CN"/>
        </w:rPr>
      </w:pPr>
      <w:r>
        <w:rPr>
          <w:rStyle w:val="65"/>
          <w:rFonts w:ascii="宋体" w:hAnsi="宋体"/>
          <w:sz w:val="24"/>
          <w:highlight w:val="white"/>
          <w:lang w:eastAsia="zh-CN"/>
        </w:rPr>
        <w:t>法律</w:t>
      </w:r>
      <w:r>
        <w:rPr>
          <w:rStyle w:val="65"/>
          <w:rFonts w:hint="eastAsia" w:ascii="宋体" w:hAnsi="宋体"/>
          <w:sz w:val="24"/>
          <w:highlight w:val="white"/>
          <w:lang w:eastAsia="zh-CN"/>
        </w:rPr>
        <w:t>、行政</w:t>
      </w:r>
      <w:r>
        <w:rPr>
          <w:rStyle w:val="65"/>
          <w:rFonts w:ascii="宋体" w:hAnsi="宋体"/>
          <w:sz w:val="24"/>
          <w:highlight w:val="white"/>
          <w:lang w:eastAsia="zh-CN"/>
        </w:rPr>
        <w:t>法规或</w:t>
      </w:r>
      <w:r>
        <w:rPr>
          <w:rStyle w:val="65"/>
          <w:rFonts w:hint="eastAsia" w:ascii="宋体" w:hAnsi="宋体"/>
          <w:sz w:val="24"/>
          <w:highlight w:val="white"/>
          <w:lang w:eastAsia="zh-CN"/>
        </w:rPr>
        <w:t>监管部门取消</w:t>
      </w:r>
      <w:r>
        <w:rPr>
          <w:rStyle w:val="65"/>
          <w:rFonts w:ascii="宋体" w:hAnsi="宋体"/>
          <w:sz w:val="24"/>
          <w:highlight w:val="white"/>
          <w:lang w:eastAsia="zh-CN"/>
        </w:rPr>
        <w:t>上述限制，</w:t>
      </w:r>
      <w:r>
        <w:rPr>
          <w:rStyle w:val="65"/>
          <w:rFonts w:hint="eastAsia" w:ascii="宋体" w:hAnsi="宋体"/>
          <w:sz w:val="24"/>
          <w:highlight w:val="white"/>
          <w:lang w:eastAsia="zh-CN"/>
        </w:rPr>
        <w:t>本基金投资不再受相关限制。</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（十）法律法规和基金合同禁止的其他行为，以及依照法律、行政法规有关规定，由</w:t>
      </w:r>
      <w:r>
        <w:rPr>
          <w:rStyle w:val="65"/>
          <w:rFonts w:hint="eastAsia" w:ascii="宋体" w:hAnsi="宋体"/>
          <w:sz w:val="24"/>
          <w:highlight w:val="white"/>
          <w:lang w:eastAsia="zh-CN"/>
        </w:rPr>
        <w:t>中国证监会</w:t>
      </w:r>
      <w:r>
        <w:rPr>
          <w:rFonts w:hint="eastAsia" w:ascii="宋体" w:hAnsi="宋体" w:cs="Arial"/>
          <w:sz w:val="24"/>
          <w:highlight w:val="white"/>
          <w:lang w:eastAsia="zh-CN"/>
        </w:rPr>
        <w:t>规定禁止基金管理人、基金托管人从事的其他行为。</w:t>
      </w:r>
    </w:p>
    <w:p>
      <w:pPr>
        <w:pStyle w:val="2"/>
        <w:numPr>
          <w:ilvl w:val="0"/>
          <w:numId w:val="1"/>
        </w:numPr>
        <w:spacing w:line="360" w:lineRule="auto"/>
        <w:jc w:val="center"/>
        <w:rPr>
          <w:rFonts w:ascii="宋体" w:hAnsi="宋体"/>
          <w:sz w:val="28"/>
          <w:szCs w:val="28"/>
          <w:lang w:eastAsia="zh-CN"/>
        </w:rPr>
      </w:pPr>
      <w:r>
        <w:rPr>
          <w:rFonts w:ascii="宋体" w:hAnsi="宋体"/>
          <w:sz w:val="24"/>
          <w:szCs w:val="24"/>
          <w:highlight w:val="white"/>
          <w:lang w:eastAsia="zh-CN"/>
        </w:rPr>
        <w:br w:type="page"/>
      </w:r>
      <w:bookmarkStart w:id="232" w:name="_Toc295832974"/>
      <w:bookmarkEnd w:id="232"/>
      <w:bookmarkStart w:id="233" w:name="_Toc295833034"/>
      <w:bookmarkEnd w:id="233"/>
      <w:bookmarkStart w:id="234" w:name="_Toc295833705"/>
      <w:bookmarkEnd w:id="234"/>
      <w:bookmarkStart w:id="235" w:name="_Toc270669867"/>
      <w:bookmarkStart w:id="236" w:name="_Toc124325900"/>
      <w:bookmarkStart w:id="237" w:name="_Toc450839482"/>
      <w:r>
        <w:rPr>
          <w:rFonts w:hint="eastAsia" w:ascii="宋体" w:hAnsi="宋体"/>
          <w:sz w:val="28"/>
          <w:szCs w:val="28"/>
          <w:highlight w:val="white"/>
          <w:lang w:eastAsia="zh-CN"/>
        </w:rPr>
        <w:t>托管协议的变更、终止与基金财产的清算</w:t>
      </w:r>
      <w:bookmarkEnd w:id="235"/>
      <w:bookmarkEnd w:id="236"/>
      <w:bookmarkEnd w:id="237"/>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（一）本托管协议的变更程序</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本托管协议双方当事人经协商一致，可以对本托管协议进行修改。修改后的新托管协议，其内容不得与基金合同的规定有任何冲突。</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（二）基金托管协议终止出现的情形</w:t>
      </w:r>
    </w:p>
    <w:p>
      <w:pPr>
        <w:numPr>
          <w:ilvl w:val="0"/>
          <w:numId w:val="24"/>
        </w:numPr>
        <w:snapToGrid w:val="0"/>
        <w:spacing w:line="360" w:lineRule="auto"/>
        <w:ind w:left="0" w:firstLine="480"/>
        <w:rPr>
          <w:rStyle w:val="65"/>
          <w:rFonts w:ascii="宋体" w:hAnsi="宋体"/>
          <w:sz w:val="24"/>
        </w:rPr>
      </w:pPr>
      <w:r>
        <w:rPr>
          <w:rStyle w:val="65"/>
          <w:rFonts w:hint="eastAsia" w:ascii="宋体" w:hAnsi="宋体"/>
          <w:sz w:val="24"/>
          <w:highlight w:val="white"/>
        </w:rPr>
        <w:t>基金合同终止；</w:t>
      </w:r>
    </w:p>
    <w:p>
      <w:pPr>
        <w:numPr>
          <w:ilvl w:val="0"/>
          <w:numId w:val="24"/>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基金托管人解散、依法被撤销、破产或由其他基金托管人接管基金资产；</w:t>
      </w:r>
    </w:p>
    <w:p>
      <w:pPr>
        <w:numPr>
          <w:ilvl w:val="0"/>
          <w:numId w:val="24"/>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基金管理人解散、依法被撤销、破产或由其他基金管理人接管基金管理权；</w:t>
      </w:r>
    </w:p>
    <w:p>
      <w:pPr>
        <w:numPr>
          <w:ilvl w:val="0"/>
          <w:numId w:val="24"/>
        </w:numPr>
        <w:snapToGrid w:val="0"/>
        <w:spacing w:line="360" w:lineRule="auto"/>
        <w:ind w:left="0" w:firstLine="480"/>
        <w:rPr>
          <w:rStyle w:val="65"/>
          <w:rFonts w:ascii="宋体" w:hAnsi="宋体"/>
          <w:sz w:val="24"/>
          <w:lang w:eastAsia="zh-CN"/>
        </w:rPr>
      </w:pPr>
      <w:r>
        <w:rPr>
          <w:rStyle w:val="65"/>
          <w:rFonts w:hint="eastAsia" w:ascii="宋体" w:hAnsi="宋体"/>
          <w:sz w:val="24"/>
          <w:highlight w:val="white"/>
          <w:lang w:eastAsia="zh-CN"/>
        </w:rPr>
        <w:t>发生法律法规、中国证监会或基金合同规定的终止事项。</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（三）基金财产的清算</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1</w:t>
      </w:r>
      <w:r>
        <w:rPr>
          <w:rFonts w:ascii="宋体" w:hAnsi="宋体" w:cs="Arial"/>
          <w:sz w:val="24"/>
          <w:highlight w:val="white"/>
          <w:lang w:eastAsia="zh-CN"/>
        </w:rPr>
        <w:t>.</w:t>
      </w:r>
      <w:r>
        <w:rPr>
          <w:rFonts w:hint="eastAsia" w:ascii="宋体" w:hAnsi="宋体" w:cs="Arial"/>
          <w:sz w:val="24"/>
          <w:highlight w:val="white"/>
          <w:lang w:eastAsia="zh-CN"/>
        </w:rPr>
        <w:t>基金财产清算小组：自出现《基金合同》终止事由之日起30个工作日内成立清算小组，基金管理人组织基金财产清算小组并在中国证监会的监督下进行基金清算。</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2</w:t>
      </w:r>
      <w:r>
        <w:rPr>
          <w:rFonts w:ascii="宋体" w:hAnsi="宋体" w:cs="Arial"/>
          <w:sz w:val="24"/>
          <w:highlight w:val="white"/>
          <w:lang w:eastAsia="zh-CN"/>
        </w:rPr>
        <w:t>.</w:t>
      </w:r>
      <w:r>
        <w:rPr>
          <w:rFonts w:hint="eastAsia" w:ascii="宋体" w:hAnsi="宋体" w:cs="Arial"/>
          <w:sz w:val="24"/>
          <w:highlight w:val="white"/>
          <w:lang w:eastAsia="zh-CN"/>
        </w:rPr>
        <w:t>基金财产清算小组组成：基金财产清算小组成员由基金管理人、基金托管人、注册会计师、律师以及中国证监会指定的人员组成。基金财产清算小组可以聘用必要的工作人员。</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3</w:t>
      </w:r>
      <w:r>
        <w:rPr>
          <w:rFonts w:ascii="宋体" w:hAnsi="宋体" w:cs="Arial"/>
          <w:sz w:val="24"/>
          <w:highlight w:val="white"/>
          <w:lang w:eastAsia="zh-CN"/>
        </w:rPr>
        <w:t>.</w:t>
      </w:r>
      <w:r>
        <w:rPr>
          <w:rFonts w:hint="eastAsia" w:ascii="宋体" w:hAnsi="宋体" w:cs="Arial"/>
          <w:sz w:val="24"/>
          <w:highlight w:val="white"/>
          <w:lang w:eastAsia="zh-CN"/>
        </w:rPr>
        <w:t>基金财产清算小组职责：基金财产清算小组负责基金财产的保管、清理、估价、变现和分配。基金财产清算小组可以依法进行必要的民事活动。</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4</w:t>
      </w:r>
      <w:r>
        <w:rPr>
          <w:rFonts w:ascii="宋体" w:hAnsi="宋体" w:cs="Arial"/>
          <w:sz w:val="24"/>
          <w:highlight w:val="white"/>
          <w:lang w:eastAsia="zh-CN"/>
        </w:rPr>
        <w:t>.</w:t>
      </w:r>
      <w:r>
        <w:rPr>
          <w:rFonts w:hint="eastAsia" w:ascii="宋体" w:hAnsi="宋体" w:cs="Arial"/>
          <w:sz w:val="24"/>
          <w:highlight w:val="white"/>
          <w:lang w:eastAsia="zh-CN"/>
        </w:rPr>
        <w:t>基金财产清算程序：</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（1）《基金合同》终止情形出现时，由基金财产清算小组统一接管基金；</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（2）对基金财产和债权债务进行清理和确认；</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（3）对基金财产进行估值和变现；</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（4）制作清算报告；</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（5）聘请会计师事务所对清算报告进行外部审计，聘请律师事务所对清算报告出具法律意见书；</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（6）将清算报告报中国证监会备案并公告；</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（7）对基金剩余财产进行分配。</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5</w:t>
      </w:r>
      <w:r>
        <w:rPr>
          <w:rFonts w:ascii="宋体" w:hAnsi="宋体" w:cs="Arial"/>
          <w:sz w:val="24"/>
          <w:highlight w:val="white"/>
          <w:lang w:eastAsia="zh-CN"/>
        </w:rPr>
        <w:t>.</w:t>
      </w:r>
      <w:r>
        <w:rPr>
          <w:rFonts w:hint="eastAsia" w:ascii="宋体" w:hAnsi="宋体" w:cs="Arial"/>
          <w:sz w:val="24"/>
          <w:highlight w:val="white"/>
          <w:lang w:eastAsia="zh-CN"/>
        </w:rPr>
        <w:t>基金财产清算的期限为6个月，但因本基金所持证券的流动性受到限制而不能及时变现的，清算期限相应顺延。</w:t>
      </w:r>
    </w:p>
    <w:p>
      <w:pPr>
        <w:snapToGrid w:val="0"/>
        <w:spacing w:line="360" w:lineRule="auto"/>
        <w:ind w:firstLine="480" w:firstLineChars="200"/>
        <w:rPr>
          <w:rFonts w:ascii="宋体" w:hAnsi="宋体"/>
          <w:sz w:val="24"/>
          <w:lang w:eastAsia="zh-CN"/>
        </w:rPr>
      </w:pPr>
      <w:r>
        <w:rPr>
          <w:rFonts w:ascii="宋体" w:hAnsi="宋体" w:cs="Arial"/>
          <w:sz w:val="24"/>
          <w:highlight w:val="white"/>
          <w:lang w:eastAsia="zh-CN"/>
        </w:rPr>
        <w:t>6.</w:t>
      </w:r>
      <w:r>
        <w:rPr>
          <w:rFonts w:hint="eastAsia" w:ascii="宋体" w:hAnsi="宋体" w:cs="Arial"/>
          <w:sz w:val="24"/>
          <w:highlight w:val="white"/>
          <w:lang w:eastAsia="zh-CN"/>
        </w:rPr>
        <w:t>清算费用</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清算费用是指基金财产清算小组在进行基金清算过程中发生的所有合理费用，清算费用由基金财产清算小组优先从基金财产中支付。</w:t>
      </w:r>
    </w:p>
    <w:p>
      <w:pPr>
        <w:snapToGrid w:val="0"/>
        <w:spacing w:line="360" w:lineRule="auto"/>
        <w:ind w:firstLine="480" w:firstLineChars="200"/>
        <w:rPr>
          <w:rFonts w:ascii="宋体" w:hAnsi="宋体"/>
          <w:sz w:val="24"/>
          <w:lang w:eastAsia="zh-CN"/>
        </w:rPr>
      </w:pPr>
      <w:r>
        <w:rPr>
          <w:rFonts w:ascii="宋体" w:hAnsi="宋体" w:cs="Arial"/>
          <w:sz w:val="24"/>
          <w:highlight w:val="white"/>
          <w:lang w:eastAsia="zh-CN"/>
        </w:rPr>
        <w:t>7.</w:t>
      </w:r>
      <w:r>
        <w:rPr>
          <w:rFonts w:hint="eastAsia" w:ascii="宋体" w:hAnsi="宋体" w:cs="Arial"/>
          <w:sz w:val="24"/>
          <w:highlight w:val="white"/>
          <w:lang w:eastAsia="zh-CN"/>
        </w:rPr>
        <w:t>基金财产清算剩余资产的分配</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依据基金财产清算的分配方案，将基金财产清算后的全部剩余资产扣除基金财产清算费用、交纳所欠税款并清偿基金债务后，按基金份额持有人持有的基金份额比例进行分配。</w:t>
      </w:r>
    </w:p>
    <w:p>
      <w:pPr>
        <w:snapToGrid w:val="0"/>
        <w:spacing w:line="360" w:lineRule="auto"/>
        <w:ind w:firstLine="480" w:firstLineChars="200"/>
        <w:rPr>
          <w:rFonts w:ascii="宋体" w:hAnsi="宋体"/>
          <w:sz w:val="24"/>
          <w:lang w:eastAsia="zh-CN"/>
        </w:rPr>
      </w:pPr>
      <w:r>
        <w:rPr>
          <w:rFonts w:ascii="宋体" w:hAnsi="宋体" w:cs="Arial"/>
          <w:sz w:val="24"/>
          <w:highlight w:val="white"/>
          <w:lang w:eastAsia="zh-CN"/>
        </w:rPr>
        <w:t>8.</w:t>
      </w:r>
      <w:r>
        <w:rPr>
          <w:rFonts w:hint="eastAsia" w:ascii="宋体" w:hAnsi="宋体" w:cs="Arial"/>
          <w:sz w:val="24"/>
          <w:highlight w:val="white"/>
          <w:lang w:eastAsia="zh-CN"/>
        </w:rPr>
        <w:t>基金财产清算的公告</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5个工作日内由基金财产清算小组进行公告。</w:t>
      </w:r>
    </w:p>
    <w:p>
      <w:pPr>
        <w:snapToGrid w:val="0"/>
        <w:spacing w:line="360" w:lineRule="auto"/>
        <w:ind w:firstLine="480" w:firstLineChars="200"/>
        <w:rPr>
          <w:rFonts w:ascii="宋体" w:hAnsi="宋体"/>
          <w:sz w:val="24"/>
          <w:lang w:eastAsia="zh-CN"/>
        </w:rPr>
      </w:pPr>
      <w:r>
        <w:rPr>
          <w:rFonts w:ascii="宋体" w:hAnsi="宋体" w:cs="Arial"/>
          <w:sz w:val="24"/>
          <w:highlight w:val="white"/>
          <w:lang w:eastAsia="zh-CN"/>
        </w:rPr>
        <w:t>9.</w:t>
      </w:r>
      <w:r>
        <w:rPr>
          <w:rFonts w:hint="eastAsia" w:ascii="宋体" w:hAnsi="宋体" w:cs="Arial"/>
          <w:sz w:val="24"/>
          <w:highlight w:val="white"/>
          <w:lang w:eastAsia="zh-CN"/>
        </w:rPr>
        <w:t>基金财产清算账册及文件的保存</w:t>
      </w:r>
    </w:p>
    <w:p>
      <w:pPr>
        <w:snapToGrid w:val="0"/>
        <w:spacing w:line="360" w:lineRule="auto"/>
        <w:ind w:firstLine="480" w:firstLineChars="200"/>
        <w:rPr>
          <w:rFonts w:ascii="宋体" w:hAnsi="宋体"/>
          <w:sz w:val="24"/>
          <w:lang w:eastAsia="zh-CN"/>
        </w:rPr>
      </w:pPr>
      <w:r>
        <w:rPr>
          <w:rFonts w:hint="eastAsia" w:ascii="宋体" w:hAnsi="宋体" w:cs="Arial"/>
          <w:sz w:val="24"/>
          <w:highlight w:val="white"/>
          <w:lang w:eastAsia="zh-CN"/>
        </w:rPr>
        <w:t>基金财产清算账册及有关文件由基金托管人保存20年以上。</w:t>
      </w:r>
    </w:p>
    <w:p>
      <w:pPr>
        <w:spacing w:line="360" w:lineRule="auto"/>
        <w:ind w:firstLine="480" w:firstLineChars="200"/>
        <w:rPr>
          <w:rFonts w:ascii="宋体" w:hAnsi="宋体"/>
          <w:sz w:val="24"/>
          <w:lang w:eastAsia="zh-CN"/>
        </w:rPr>
      </w:pPr>
      <w:r>
        <w:rPr>
          <w:rFonts w:ascii="宋体" w:hAnsi="宋体"/>
          <w:sz w:val="24"/>
          <w:highlight w:val="white"/>
          <w:lang w:eastAsia="zh-CN"/>
        </w:rPr>
        <w:t xml:space="preserve"> </w:t>
      </w:r>
    </w:p>
    <w:p>
      <w:pPr>
        <w:spacing w:line="360" w:lineRule="auto"/>
        <w:ind w:firstLine="480" w:firstLineChars="200"/>
        <w:rPr>
          <w:rFonts w:ascii="宋体" w:hAnsi="宋体"/>
          <w:sz w:val="24"/>
          <w:lang w:eastAsia="zh-CN"/>
        </w:rPr>
      </w:pPr>
      <w:r>
        <w:rPr>
          <w:rFonts w:ascii="宋体" w:hAnsi="宋体"/>
          <w:sz w:val="24"/>
          <w:highlight w:val="white"/>
          <w:lang w:eastAsia="zh-CN"/>
        </w:rPr>
        <w:tab/>
      </w: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238" w:name="_Toc295833036"/>
      <w:bookmarkEnd w:id="238"/>
      <w:bookmarkStart w:id="239" w:name="_Toc295833707"/>
      <w:bookmarkEnd w:id="239"/>
      <w:bookmarkStart w:id="240" w:name="_Toc295832976"/>
      <w:bookmarkEnd w:id="240"/>
      <w:bookmarkStart w:id="241" w:name="_Toc124325901"/>
      <w:bookmarkStart w:id="242" w:name="_Toc450839483"/>
      <w:bookmarkStart w:id="243" w:name="_Toc270669868"/>
      <w:r>
        <w:rPr>
          <w:rFonts w:hint="eastAsia" w:ascii="宋体" w:hAnsi="宋体"/>
          <w:sz w:val="28"/>
          <w:szCs w:val="28"/>
          <w:highlight w:val="white"/>
        </w:rPr>
        <w:t>违约责任</w:t>
      </w:r>
      <w:bookmarkEnd w:id="241"/>
      <w:bookmarkEnd w:id="242"/>
      <w:bookmarkEnd w:id="243"/>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w:t>
      </w:r>
      <w:r>
        <w:rPr>
          <w:rFonts w:ascii="宋体" w:hAnsi="宋体" w:cs="Arial"/>
          <w:sz w:val="24"/>
          <w:highlight w:val="white"/>
          <w:lang w:eastAsia="zh-CN"/>
        </w:rPr>
        <w:t>基金管理人、基金托管人</w:t>
      </w:r>
      <w:r>
        <w:rPr>
          <w:rFonts w:hint="eastAsia" w:ascii="宋体" w:hAnsi="宋体" w:cs="Arial"/>
          <w:sz w:val="24"/>
          <w:highlight w:val="white"/>
          <w:lang w:eastAsia="zh-CN"/>
        </w:rPr>
        <w:t>不</w:t>
      </w:r>
      <w:r>
        <w:rPr>
          <w:rFonts w:ascii="宋体" w:hAnsi="宋体" w:cs="Arial"/>
          <w:sz w:val="24"/>
          <w:highlight w:val="white"/>
          <w:lang w:eastAsia="zh-CN"/>
        </w:rPr>
        <w:t>履行</w:t>
      </w:r>
      <w:r>
        <w:rPr>
          <w:rFonts w:hint="eastAsia" w:ascii="宋体" w:hAnsi="宋体" w:cs="Arial"/>
          <w:sz w:val="24"/>
          <w:highlight w:val="white"/>
          <w:lang w:eastAsia="zh-CN"/>
        </w:rPr>
        <w:t>本协议或履行本协议不符合约定的，应当承担违约责任。</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w:t>
      </w:r>
      <w:r>
        <w:rPr>
          <w:rFonts w:ascii="宋体" w:hAnsi="宋体" w:cs="Arial"/>
          <w:sz w:val="24"/>
          <w:highlight w:val="white"/>
          <w:lang w:eastAsia="zh-CN"/>
        </w:rPr>
        <w:t>基金管理人、基金托管人在履行各自职责的过程中，违反</w:t>
      </w:r>
      <w:r>
        <w:rPr>
          <w:rFonts w:hint="eastAsia" w:ascii="宋体" w:hAnsi="宋体" w:cs="Arial"/>
          <w:sz w:val="24"/>
          <w:highlight w:val="white"/>
          <w:lang w:eastAsia="zh-CN"/>
        </w:rPr>
        <w:t>《基金法》</w:t>
      </w:r>
      <w:r>
        <w:rPr>
          <w:rFonts w:ascii="宋体" w:hAnsi="宋体" w:cs="Arial"/>
          <w:sz w:val="24"/>
          <w:highlight w:val="white"/>
          <w:lang w:eastAsia="zh-CN"/>
        </w:rPr>
        <w:t>或者</w:t>
      </w:r>
      <w:r>
        <w:rPr>
          <w:rFonts w:hint="eastAsia" w:ascii="宋体" w:hAnsi="宋体" w:cs="Arial"/>
          <w:sz w:val="24"/>
          <w:highlight w:val="white"/>
          <w:lang w:eastAsia="zh-CN"/>
        </w:rPr>
        <w:t>基金合同和本托管协议</w:t>
      </w:r>
      <w:r>
        <w:rPr>
          <w:rFonts w:ascii="宋体" w:hAnsi="宋体" w:cs="Arial"/>
          <w:sz w:val="24"/>
          <w:highlight w:val="white"/>
          <w:lang w:eastAsia="zh-CN"/>
        </w:rPr>
        <w:t>约定，给基金财产或者基金份额持有人造成损害的，应当分别对各自的行为依法承担赔偿责任；因共同行为给基金财产或者基金份额持有人造成损害的，应当承担连带赔偿责任。</w:t>
      </w:r>
      <w:r>
        <w:rPr>
          <w:rFonts w:hint="eastAsia" w:ascii="宋体" w:hAnsi="宋体"/>
          <w:bCs/>
          <w:sz w:val="24"/>
          <w:highlight w:val="white"/>
          <w:lang w:eastAsia="zh-CN"/>
        </w:rPr>
        <w:t>对损失的赔偿，仅限于直接损失。</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一方当事人违约，给另一方当事人造成损失的，应就直接损失进行赔偿；给基金财产造成损失的，应就直接损失进行赔偿，另一方当事人有权利及义务代表基金向违约方追偿。但是如发生下列情况，当事人可以免责：</w:t>
      </w:r>
    </w:p>
    <w:p>
      <w:pPr>
        <w:spacing w:line="360" w:lineRule="auto"/>
        <w:ind w:firstLine="480" w:firstLineChars="200"/>
        <w:rPr>
          <w:rFonts w:ascii="宋体" w:hAnsi="宋体"/>
          <w:bCs/>
          <w:sz w:val="24"/>
          <w:lang w:eastAsia="zh-CN"/>
        </w:rPr>
      </w:pPr>
      <w:r>
        <w:rPr>
          <w:rFonts w:hint="eastAsia" w:ascii="宋体" w:hAnsi="宋体" w:cs="宋体"/>
          <w:bCs/>
          <w:sz w:val="24"/>
          <w:highlight w:val="white"/>
          <w:lang w:eastAsia="zh-CN"/>
        </w:rPr>
        <w:t>1</w:t>
      </w:r>
      <w:r>
        <w:rPr>
          <w:rFonts w:ascii="宋体" w:hAnsi="宋体" w:cs="宋体"/>
          <w:bCs/>
          <w:sz w:val="24"/>
          <w:highlight w:val="white"/>
          <w:lang w:eastAsia="zh-CN"/>
        </w:rPr>
        <w:t>.</w:t>
      </w:r>
      <w:r>
        <w:rPr>
          <w:rFonts w:hint="eastAsia" w:ascii="宋体" w:hAnsi="宋体" w:cs="宋体"/>
          <w:bCs/>
          <w:sz w:val="24"/>
          <w:highlight w:val="white"/>
          <w:lang w:eastAsia="zh-CN"/>
        </w:rPr>
        <w:t>不可抗力；</w:t>
      </w:r>
    </w:p>
    <w:p>
      <w:pPr>
        <w:spacing w:line="360" w:lineRule="auto"/>
        <w:ind w:firstLine="480" w:firstLineChars="200"/>
        <w:rPr>
          <w:rFonts w:ascii="宋体" w:hAnsi="宋体"/>
          <w:bCs/>
          <w:sz w:val="24"/>
          <w:lang w:eastAsia="zh-CN"/>
        </w:rPr>
      </w:pPr>
      <w:r>
        <w:rPr>
          <w:rFonts w:hint="eastAsia" w:ascii="宋体" w:hAnsi="宋体" w:cs="宋体"/>
          <w:bCs/>
          <w:sz w:val="24"/>
          <w:highlight w:val="white"/>
          <w:lang w:eastAsia="zh-CN"/>
        </w:rPr>
        <w:t>2</w:t>
      </w:r>
      <w:r>
        <w:rPr>
          <w:rFonts w:ascii="宋体" w:hAnsi="宋体" w:cs="宋体"/>
          <w:bCs/>
          <w:sz w:val="24"/>
          <w:highlight w:val="white"/>
          <w:lang w:eastAsia="zh-CN"/>
        </w:rPr>
        <w:t>.</w:t>
      </w:r>
      <w:r>
        <w:rPr>
          <w:rFonts w:hint="eastAsia" w:ascii="宋体" w:hAnsi="宋体" w:cs="宋体"/>
          <w:bCs/>
          <w:sz w:val="24"/>
          <w:highlight w:val="white"/>
          <w:lang w:eastAsia="zh-CN"/>
        </w:rPr>
        <w:t>基金管理人和/或基金托管人按照当时有效的法律法规或中国证监会的规定作为或不作为而造成的损失等；</w:t>
      </w:r>
    </w:p>
    <w:p>
      <w:pPr>
        <w:spacing w:line="360" w:lineRule="auto"/>
        <w:ind w:firstLine="480" w:firstLineChars="200"/>
        <w:rPr>
          <w:rFonts w:ascii="宋体" w:hAnsi="宋体"/>
          <w:bCs/>
          <w:sz w:val="24"/>
          <w:lang w:eastAsia="zh-CN"/>
        </w:rPr>
      </w:pPr>
      <w:r>
        <w:rPr>
          <w:rFonts w:hint="eastAsia" w:ascii="宋体" w:hAnsi="宋体" w:cs="宋体"/>
          <w:bCs/>
          <w:sz w:val="24"/>
          <w:highlight w:val="white"/>
          <w:lang w:eastAsia="zh-CN"/>
        </w:rPr>
        <w:t>3</w:t>
      </w:r>
      <w:r>
        <w:rPr>
          <w:rFonts w:ascii="宋体" w:hAnsi="宋体" w:cs="宋体"/>
          <w:bCs/>
          <w:sz w:val="24"/>
          <w:highlight w:val="white"/>
          <w:lang w:eastAsia="zh-CN"/>
        </w:rPr>
        <w:t>.</w:t>
      </w:r>
      <w:r>
        <w:rPr>
          <w:rFonts w:hint="eastAsia" w:ascii="宋体" w:hAnsi="宋体" w:cs="宋体"/>
          <w:bCs/>
          <w:sz w:val="24"/>
          <w:highlight w:val="white"/>
          <w:lang w:eastAsia="zh-CN"/>
        </w:rPr>
        <w:t>基金管理人由于按照基金合同规定的投资原则投资或不投资造成的损失等。</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（四）一方当事人违约，另一方当事人在职责范围内有义务及时采取必要的措施，尽力防止损失的扩大。</w:t>
      </w:r>
      <w:r>
        <w:rPr>
          <w:rFonts w:ascii="宋体" w:hAnsi="宋体"/>
          <w:sz w:val="24"/>
          <w:highlight w:val="white"/>
          <w:lang w:eastAsia="zh-CN"/>
        </w:rPr>
        <w:t>没有采取适当措施致使损失扩大的，不得就扩大的损失要求赔偿。</w:t>
      </w:r>
      <w:r>
        <w:rPr>
          <w:rFonts w:hint="eastAsia" w:ascii="宋体" w:hAnsi="宋体"/>
          <w:sz w:val="24"/>
          <w:highlight w:val="white"/>
          <w:lang w:eastAsia="zh-CN"/>
        </w:rPr>
        <w:t>非违</w:t>
      </w:r>
      <w:r>
        <w:rPr>
          <w:rFonts w:ascii="宋体" w:hAnsi="宋体"/>
          <w:sz w:val="24"/>
          <w:highlight w:val="white"/>
          <w:lang w:eastAsia="zh-CN"/>
        </w:rPr>
        <w:t>约方因防止损失扩大而支出的合理费用由违约方承担。</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（五）违约行为虽已发生，但本托管协议能够继续履行的，在最大限度地保护基金份额持有人利益的前提下，基金管理人和基金托管人应当继续履行本托管协议。</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六）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减轻或消除由此造成的影响。</w:t>
      </w:r>
    </w:p>
    <w:p>
      <w:pPr>
        <w:snapToGrid w:val="0"/>
        <w:spacing w:line="360" w:lineRule="auto"/>
        <w:ind w:firstLine="480" w:firstLineChars="200"/>
        <w:rPr>
          <w:rFonts w:ascii="宋体" w:hAnsi="宋体" w:cs="Arial"/>
          <w:sz w:val="24"/>
          <w:lang w:eastAsia="zh-CN"/>
        </w:rPr>
      </w:pP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244" w:name="_Toc295833709"/>
      <w:bookmarkEnd w:id="244"/>
      <w:bookmarkStart w:id="245" w:name="_Toc295832978"/>
      <w:bookmarkEnd w:id="245"/>
      <w:bookmarkStart w:id="246" w:name="_Toc295833038"/>
      <w:bookmarkEnd w:id="246"/>
      <w:bookmarkStart w:id="247" w:name="_Toc124325902"/>
      <w:bookmarkStart w:id="248" w:name="_Toc450839484"/>
      <w:bookmarkStart w:id="249" w:name="_Toc270669869"/>
      <w:r>
        <w:rPr>
          <w:rFonts w:hint="eastAsia" w:ascii="宋体" w:hAnsi="宋体"/>
          <w:sz w:val="28"/>
          <w:szCs w:val="28"/>
          <w:highlight w:val="white"/>
        </w:rPr>
        <w:t>争议解决方式</w:t>
      </w:r>
      <w:bookmarkEnd w:id="247"/>
      <w:bookmarkEnd w:id="248"/>
      <w:bookmarkEnd w:id="249"/>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因本托管协议产生或与之相关的争议，双方当事人应通过协商、调解解决，协商、调解不能解决的，</w:t>
      </w:r>
      <w:r>
        <w:rPr>
          <w:rFonts w:hint="eastAsia" w:ascii="宋体" w:hAnsi="宋体"/>
          <w:bCs/>
          <w:sz w:val="24"/>
          <w:highlight w:val="white"/>
          <w:lang w:eastAsia="zh-CN"/>
        </w:rPr>
        <w:t>任何一方均有权将争议提交</w:t>
      </w:r>
      <w:r>
        <w:rPr>
          <w:rFonts w:hint="eastAsia" w:ascii="宋体" w:hAnsi="宋体"/>
          <w:sz w:val="24"/>
          <w:highlight w:val="white"/>
          <w:lang w:eastAsia="zh-CN"/>
        </w:rPr>
        <w:t>中国</w:t>
      </w:r>
      <w:r>
        <w:rPr>
          <w:rFonts w:ascii="宋体" w:hAnsi="宋体"/>
          <w:sz w:val="24"/>
          <w:highlight w:val="white"/>
          <w:lang w:eastAsia="zh-CN"/>
        </w:rPr>
        <w:t>国际经济贸易仲裁委员会</w:t>
      </w:r>
      <w:r>
        <w:rPr>
          <w:rFonts w:hint="eastAsia" w:ascii="宋体" w:hAnsi="宋体"/>
          <w:bCs/>
          <w:sz w:val="24"/>
          <w:highlight w:val="white"/>
          <w:lang w:eastAsia="zh-CN"/>
        </w:rPr>
        <w:t>，按照该会届时有效的仲裁规则进行仲裁。仲裁地点为北京市。仲裁裁决是终局的，对各方当事人均有约束力，仲裁费、律师费用由败诉方承担。</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争议处理期间，本托管协议双方当事人应恪守基金管理人和基金托管人职责，各自继续忠实、勤勉、尽责地履行基金合同和本托管协议规定的义务，维护基金份额持有人的合法权益。</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本协议受中国法律管辖。</w:t>
      </w:r>
    </w:p>
    <w:p>
      <w:pPr>
        <w:snapToGrid w:val="0"/>
        <w:spacing w:line="360" w:lineRule="auto"/>
        <w:ind w:firstLine="480" w:firstLineChars="200"/>
        <w:rPr>
          <w:rFonts w:ascii="宋体" w:hAnsi="宋体" w:cs="Arial"/>
          <w:sz w:val="24"/>
          <w:lang w:eastAsia="zh-CN"/>
        </w:rPr>
      </w:pP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250" w:name="_Toc295833040"/>
      <w:bookmarkEnd w:id="250"/>
      <w:bookmarkStart w:id="251" w:name="_Toc295833711"/>
      <w:bookmarkEnd w:id="251"/>
      <w:bookmarkStart w:id="252" w:name="_Toc295832980"/>
      <w:bookmarkEnd w:id="252"/>
      <w:bookmarkStart w:id="253" w:name="_Toc270669870"/>
      <w:bookmarkStart w:id="254" w:name="_Toc124325903"/>
      <w:bookmarkStart w:id="255" w:name="_Toc450839485"/>
      <w:r>
        <w:rPr>
          <w:rFonts w:hint="eastAsia" w:ascii="宋体" w:hAnsi="宋体"/>
          <w:sz w:val="28"/>
          <w:szCs w:val="28"/>
          <w:highlight w:val="white"/>
        </w:rPr>
        <w:t>托管协议的效力</w:t>
      </w:r>
      <w:bookmarkEnd w:id="253"/>
      <w:bookmarkEnd w:id="254"/>
      <w:bookmarkEnd w:id="255"/>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双方对托管协议的效力约定如下：</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一）基金管理人在向中国证监会申请发售基金份额时提交的托管协议草案，应经托管协议当事人双方盖章以及双方法定代表人或授权代表签字或签章，协议当事人双方根据中国证监会的意见修改托管协议草案。托管协议以经中国证监会注册的文本为正式文本。</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二）托管协议自基金管理人、基金托管人法定代表人或授权代表签字或盖章并加盖双方公章/合同专用章之日起成立，自基金合同生效之日起生效。托管协议的有效期自其生效之日起至基金财产清算结果报中国证监会备案并公告之日止。</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（三）托管协议自生效之日起对托管协议当事人具有同等的法律约束力。</w:t>
      </w:r>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（四）本托管协议一式三份，协议双方各持一份，上报监管部门一份，每份具有同等的法律效力。</w:t>
      </w:r>
    </w:p>
    <w:p>
      <w:pPr>
        <w:snapToGrid w:val="0"/>
        <w:spacing w:line="360" w:lineRule="auto"/>
        <w:ind w:firstLine="480" w:firstLineChars="200"/>
        <w:rPr>
          <w:rFonts w:ascii="宋体" w:hAnsi="宋体"/>
          <w:sz w:val="24"/>
          <w:lang w:eastAsia="zh-CN"/>
        </w:rPr>
      </w:pPr>
    </w:p>
    <w:p>
      <w:pPr>
        <w:pStyle w:val="2"/>
        <w:numPr>
          <w:ilvl w:val="0"/>
          <w:numId w:val="1"/>
        </w:numPr>
        <w:spacing w:line="360" w:lineRule="auto"/>
        <w:jc w:val="center"/>
        <w:rPr>
          <w:rFonts w:ascii="宋体" w:hAnsi="宋体"/>
          <w:sz w:val="28"/>
          <w:szCs w:val="28"/>
        </w:rPr>
      </w:pPr>
      <w:r>
        <w:rPr>
          <w:rFonts w:ascii="宋体" w:hAnsi="宋体" w:cs="Arial"/>
          <w:sz w:val="24"/>
          <w:szCs w:val="24"/>
          <w:highlight w:val="white"/>
          <w:lang w:eastAsia="zh-CN"/>
        </w:rPr>
        <w:br w:type="page"/>
      </w:r>
      <w:bookmarkStart w:id="256" w:name="_Toc295833042"/>
      <w:bookmarkEnd w:id="256"/>
      <w:bookmarkStart w:id="257" w:name="_Toc295832982"/>
      <w:bookmarkEnd w:id="257"/>
      <w:bookmarkStart w:id="258" w:name="_Toc295833713"/>
      <w:bookmarkEnd w:id="258"/>
      <w:bookmarkStart w:id="259" w:name="_Toc270669871"/>
      <w:bookmarkStart w:id="260" w:name="_Toc124325904"/>
      <w:bookmarkStart w:id="261" w:name="_Toc450839486"/>
      <w:r>
        <w:rPr>
          <w:rFonts w:hint="eastAsia" w:ascii="宋体" w:hAnsi="宋体"/>
          <w:sz w:val="28"/>
          <w:szCs w:val="28"/>
          <w:highlight w:val="white"/>
        </w:rPr>
        <w:t>其他事项</w:t>
      </w:r>
      <w:bookmarkEnd w:id="259"/>
      <w:bookmarkEnd w:id="260"/>
      <w:bookmarkEnd w:id="261"/>
    </w:p>
    <w:p>
      <w:pPr>
        <w:snapToGrid w:val="0"/>
        <w:spacing w:line="360" w:lineRule="auto"/>
        <w:ind w:firstLine="480" w:firstLineChars="200"/>
        <w:rPr>
          <w:rFonts w:ascii="宋体" w:hAnsi="宋体" w:cs="Arial"/>
          <w:sz w:val="24"/>
          <w:lang w:eastAsia="zh-CN"/>
        </w:rPr>
      </w:pPr>
      <w:r>
        <w:rPr>
          <w:rFonts w:hint="eastAsia" w:ascii="宋体" w:hAnsi="宋体" w:cs="Arial"/>
          <w:sz w:val="24"/>
          <w:highlight w:val="white"/>
          <w:lang w:eastAsia="zh-CN"/>
        </w:rPr>
        <w:t>如发生有权司法机关依法冻结基金份额持有人的基金份额时，基金管理人应予以配合，承担司法协助义务。</w:t>
      </w:r>
    </w:p>
    <w:p>
      <w:pPr>
        <w:snapToGrid w:val="0"/>
        <w:spacing w:line="360" w:lineRule="auto"/>
        <w:ind w:right="26" w:firstLine="480" w:firstLineChars="200"/>
        <w:rPr>
          <w:rFonts w:ascii="宋体" w:hAnsi="宋体" w:cs="Arial"/>
          <w:sz w:val="24"/>
          <w:lang w:eastAsia="zh-CN"/>
        </w:rPr>
      </w:pPr>
      <w:r>
        <w:rPr>
          <w:rFonts w:hint="eastAsia" w:ascii="宋体" w:hAnsi="宋体" w:cs="Arial"/>
          <w:sz w:val="24"/>
          <w:highlight w:val="white"/>
          <w:lang w:eastAsia="zh-CN"/>
        </w:rPr>
        <w:t>除本协议有明确定义外，本协议的用语定义适用基金合同的约定。本协议未尽事宜，当事人依据基金合同、有关法律法规等规定协商办理。</w:t>
      </w:r>
      <w:bookmarkStart w:id="262" w:name="_Toc295832984"/>
      <w:bookmarkEnd w:id="262"/>
      <w:bookmarkStart w:id="263" w:name="_Toc295833044"/>
      <w:bookmarkEnd w:id="263"/>
      <w:bookmarkStart w:id="264" w:name="_Toc295833046"/>
      <w:bookmarkEnd w:id="264"/>
      <w:bookmarkStart w:id="265" w:name="_Toc295832986"/>
      <w:bookmarkEnd w:id="265"/>
      <w:bookmarkStart w:id="266" w:name="_Toc295833045"/>
      <w:bookmarkEnd w:id="266"/>
      <w:bookmarkStart w:id="267" w:name="_Toc295832985"/>
      <w:bookmarkEnd w:id="267"/>
      <w:bookmarkStart w:id="268" w:name="_Toc295833715"/>
      <w:bookmarkEnd w:id="268"/>
      <w:bookmarkStart w:id="269" w:name="_Toc295833716"/>
      <w:bookmarkEnd w:id="269"/>
      <w:bookmarkStart w:id="270" w:name="_Toc295833717"/>
      <w:bookmarkEnd w:id="270"/>
    </w:p>
    <w:p>
      <w:pPr>
        <w:snapToGrid w:val="0"/>
        <w:spacing w:line="360" w:lineRule="auto"/>
        <w:ind w:right="26" w:firstLine="480" w:firstLineChars="200"/>
        <w:rPr>
          <w:rFonts w:ascii="宋体" w:hAnsi="宋体"/>
          <w:sz w:val="24"/>
          <w:lang w:eastAsia="zh-CN"/>
        </w:rPr>
        <w:sectPr>
          <w:headerReference r:id="rId4" w:type="default"/>
          <w:footerReference r:id="rId5" w:type="default"/>
          <w:type w:val="continuous"/>
          <w:pgSz w:w="11906" w:h="16838"/>
          <w:pgMar w:top="1440" w:right="1800" w:bottom="1440" w:left="1800" w:header="851" w:footer="992" w:gutter="0"/>
          <w:pgNumType w:start="0"/>
          <w:cols w:space="720" w:num="1"/>
          <w:docGrid w:type="lines" w:linePitch="312" w:charSpace="0"/>
        </w:sectPr>
      </w:pPr>
    </w:p>
    <w:p>
      <w:pPr>
        <w:snapToGrid w:val="0"/>
        <w:spacing w:line="360" w:lineRule="auto"/>
        <w:ind w:right="26" w:firstLine="480" w:firstLineChars="200"/>
        <w:rPr>
          <w:rFonts w:ascii="宋体" w:hAnsi="宋体"/>
          <w:sz w:val="24"/>
          <w:lang w:eastAsia="zh-CN"/>
        </w:rPr>
      </w:pPr>
    </w:p>
    <w:p>
      <w:pPr>
        <w:snapToGrid w:val="0"/>
        <w:spacing w:line="360" w:lineRule="auto"/>
        <w:ind w:right="26"/>
        <w:rPr>
          <w:rFonts w:ascii="宋体" w:hAnsi="宋体"/>
          <w:sz w:val="24"/>
          <w:lang w:eastAsia="zh-CN"/>
        </w:rPr>
        <w:sectPr>
          <w:headerReference r:id="rId6" w:type="default"/>
          <w:footerReference r:id="rId7" w:type="default"/>
          <w:type w:val="continuous"/>
          <w:pgSz w:w="11906" w:h="16838"/>
          <w:pgMar w:top="1440" w:right="1800" w:bottom="1440" w:left="1800" w:header="851" w:footer="992" w:gutter="0"/>
          <w:pgNumType w:start="1"/>
          <w:cols w:space="720" w:num="1"/>
          <w:docGrid w:type="lines" w:linePitch="312" w:charSpace="0"/>
        </w:sectPr>
      </w:pPr>
      <w:r>
        <w:rPr>
          <w:rFonts w:ascii="宋体" w:hAnsi="宋体"/>
          <w:sz w:val="24"/>
          <w:highlight w:val="white"/>
          <w:lang w:eastAsia="zh-CN"/>
        </w:rPr>
        <w:br w:type="page"/>
      </w:r>
    </w:p>
    <w:p>
      <w:pPr>
        <w:snapToGrid w:val="0"/>
        <w:spacing w:line="360" w:lineRule="auto"/>
        <w:ind w:right="26"/>
        <w:rPr>
          <w:rFonts w:ascii="宋体" w:hAnsi="宋体"/>
          <w:sz w:val="24"/>
          <w:lang w:eastAsia="zh-CN"/>
        </w:rPr>
      </w:pPr>
      <w:r>
        <w:rPr>
          <w:rFonts w:hint="eastAsia" w:ascii="宋体" w:hAnsi="宋体"/>
          <w:sz w:val="24"/>
          <w:highlight w:val="white"/>
          <w:lang w:eastAsia="zh-CN"/>
        </w:rPr>
        <w:t>本页</w:t>
      </w:r>
      <w:r>
        <w:rPr>
          <w:rFonts w:ascii="宋体" w:hAnsi="宋体"/>
          <w:sz w:val="24"/>
          <w:highlight w:val="white"/>
          <w:lang w:eastAsia="zh-CN"/>
        </w:rPr>
        <w:t>无正文</w:t>
      </w:r>
      <w:r>
        <w:rPr>
          <w:rFonts w:ascii="宋体" w:hAnsi="宋体"/>
          <w:sz w:val="28"/>
          <w:szCs w:val="28"/>
          <w:highlight w:val="white"/>
          <w:lang w:eastAsia="zh-CN"/>
        </w:rPr>
        <w:t>，</w:t>
      </w:r>
      <w:r>
        <w:rPr>
          <w:rFonts w:hint="eastAsia" w:ascii="宋体" w:hAnsi="宋体"/>
          <w:sz w:val="24"/>
          <w:highlight w:val="white"/>
          <w:lang w:eastAsia="zh-CN"/>
        </w:rPr>
        <w:t>为《</w:t>
      </w:r>
      <w:r>
        <w:rPr>
          <w:rFonts w:ascii="宋体" w:hAnsi="宋体"/>
          <w:sz w:val="24"/>
          <w:lang w:eastAsia="zh-CN"/>
        </w:rPr>
        <w:t>易方达中证电池主题交易型开放式指数证券投资基金</w:t>
      </w:r>
      <w:r>
        <w:rPr>
          <w:rFonts w:hint="eastAsia" w:ascii="宋体" w:hAnsi="宋体"/>
          <w:sz w:val="24"/>
          <w:highlight w:val="white"/>
          <w:lang w:eastAsia="zh-CN"/>
        </w:rPr>
        <w:t>托管协议》的签字盖章页。</w:t>
      </w:r>
    </w:p>
    <w:p>
      <w:pPr>
        <w:snapToGrid w:val="0"/>
        <w:spacing w:line="360" w:lineRule="auto"/>
        <w:rPr>
          <w:rFonts w:ascii="宋体" w:hAnsi="宋体"/>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《托管协议》当事人盖章及法定代表人或授权代表</w:t>
      </w:r>
      <w:r>
        <w:rPr>
          <w:rFonts w:ascii="宋体" w:hAnsi="宋体"/>
          <w:sz w:val="24"/>
          <w:highlight w:val="white"/>
          <w:lang w:eastAsia="zh-CN"/>
        </w:rPr>
        <w:t>签字/签章、签订地、签订日</w:t>
      </w:r>
    </w:p>
    <w:p>
      <w:pPr>
        <w:snapToGrid w:val="0"/>
        <w:spacing w:line="360" w:lineRule="auto"/>
        <w:rPr>
          <w:rFonts w:ascii="宋体" w:hAnsi="宋体"/>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基金管理人：易方达基金管理有限公司（章）</w:t>
      </w: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法定代表人或授权代表（签字</w:t>
      </w:r>
      <w:r>
        <w:rPr>
          <w:rFonts w:ascii="宋体" w:hAnsi="宋体"/>
          <w:sz w:val="24"/>
          <w:highlight w:val="white"/>
          <w:lang w:eastAsia="zh-CN"/>
        </w:rPr>
        <w:t>/</w:t>
      </w:r>
      <w:r>
        <w:rPr>
          <w:rFonts w:hint="eastAsia" w:ascii="宋体" w:hAnsi="宋体"/>
          <w:sz w:val="24"/>
          <w:highlight w:val="white"/>
          <w:lang w:eastAsia="zh-CN"/>
        </w:rPr>
        <w:t xml:space="preserve">签章）：                   </w:t>
      </w: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基金托管人：中国民生银行股份有限公司（章）</w:t>
      </w: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法定代表人或授权代表（签字</w:t>
      </w:r>
      <w:r>
        <w:rPr>
          <w:rFonts w:ascii="宋体" w:hAnsi="宋体"/>
          <w:sz w:val="24"/>
          <w:highlight w:val="white"/>
          <w:lang w:eastAsia="zh-CN"/>
        </w:rPr>
        <w:t>/</w:t>
      </w:r>
      <w:r>
        <w:rPr>
          <w:rFonts w:hint="eastAsia" w:ascii="宋体" w:hAnsi="宋体"/>
          <w:sz w:val="24"/>
          <w:highlight w:val="white"/>
          <w:lang w:eastAsia="zh-CN"/>
        </w:rPr>
        <w:t xml:space="preserve">签章）：                   </w:t>
      </w:r>
    </w:p>
    <w:p>
      <w:pPr>
        <w:snapToGrid w:val="0"/>
        <w:spacing w:line="360" w:lineRule="auto"/>
        <w:ind w:right="26"/>
        <w:rPr>
          <w:rFonts w:ascii="宋体" w:hAnsi="宋体"/>
          <w:b/>
          <w:sz w:val="24"/>
          <w:lang w:eastAsia="zh-CN"/>
        </w:rPr>
      </w:pPr>
    </w:p>
    <w:p>
      <w:pPr>
        <w:snapToGrid w:val="0"/>
        <w:spacing w:line="360" w:lineRule="auto"/>
        <w:ind w:right="26"/>
        <w:rPr>
          <w:rFonts w:ascii="宋体" w:hAnsi="宋体"/>
          <w:b/>
          <w:sz w:val="24"/>
          <w:lang w:eastAsia="zh-CN"/>
        </w:rPr>
      </w:pPr>
    </w:p>
    <w:p>
      <w:pPr>
        <w:snapToGrid w:val="0"/>
        <w:spacing w:line="360" w:lineRule="auto"/>
        <w:ind w:right="26"/>
        <w:rPr>
          <w:rFonts w:ascii="宋体" w:hAnsi="宋体"/>
          <w:b/>
          <w:sz w:val="24"/>
          <w:lang w:eastAsia="zh-CN"/>
        </w:rPr>
      </w:pPr>
    </w:p>
    <w:p>
      <w:pPr>
        <w:snapToGrid w:val="0"/>
        <w:spacing w:line="360" w:lineRule="auto"/>
        <w:ind w:right="26"/>
        <w:rPr>
          <w:rFonts w:ascii="宋体" w:hAnsi="宋体"/>
          <w:b/>
          <w:sz w:val="24"/>
          <w:lang w:eastAsia="zh-CN"/>
        </w:rPr>
      </w:pPr>
    </w:p>
    <w:p>
      <w:pPr>
        <w:snapToGrid w:val="0"/>
        <w:spacing w:line="360" w:lineRule="auto"/>
        <w:ind w:right="26"/>
        <w:rPr>
          <w:rFonts w:ascii="宋体" w:hAnsi="宋体"/>
          <w:sz w:val="24"/>
          <w:lang w:eastAsia="zh-CN"/>
        </w:rPr>
      </w:pPr>
      <w:r>
        <w:rPr>
          <w:rFonts w:hint="eastAsia" w:ascii="宋体" w:hAnsi="宋体"/>
          <w:sz w:val="24"/>
          <w:highlight w:val="white"/>
          <w:lang w:eastAsia="zh-CN"/>
        </w:rPr>
        <w:t>签订地点：</w:t>
      </w:r>
      <w:r>
        <w:rPr>
          <w:rFonts w:ascii="宋体" w:hAnsi="宋体"/>
          <w:sz w:val="24"/>
          <w:highlight w:val="white"/>
          <w:lang w:eastAsia="zh-CN"/>
        </w:rPr>
        <w:t xml:space="preserve"> </w:t>
      </w:r>
      <w:r>
        <w:rPr>
          <w:rFonts w:hint="eastAsia" w:ascii="宋体" w:hAnsi="宋体"/>
          <w:sz w:val="24"/>
          <w:highlight w:val="white"/>
          <w:lang w:eastAsia="zh-CN"/>
        </w:rPr>
        <w:t>中国北京</w:t>
      </w:r>
    </w:p>
    <w:p>
      <w:pPr>
        <w:snapToGrid w:val="0"/>
        <w:spacing w:line="360" w:lineRule="auto"/>
        <w:ind w:right="26"/>
        <w:rPr>
          <w:rFonts w:ascii="宋体" w:hAnsi="宋体"/>
          <w:lang w:eastAsia="zh-CN"/>
        </w:rPr>
      </w:pPr>
      <w:r>
        <w:rPr>
          <w:rFonts w:hint="eastAsia" w:ascii="宋体" w:hAnsi="宋体"/>
          <w:sz w:val="24"/>
          <w:highlight w:val="white"/>
          <w:lang w:eastAsia="zh-CN"/>
        </w:rPr>
        <w:t>签</w:t>
      </w:r>
      <w:r>
        <w:rPr>
          <w:rFonts w:ascii="宋体" w:hAnsi="宋体"/>
          <w:sz w:val="24"/>
          <w:highlight w:val="white"/>
          <w:lang w:eastAsia="zh-CN"/>
        </w:rPr>
        <w:t xml:space="preserve"> 订 日</w:t>
      </w:r>
      <w:r>
        <w:rPr>
          <w:rFonts w:ascii="宋体" w:hAnsi="宋体"/>
          <w:sz w:val="24"/>
          <w:lang w:eastAsia="zh-CN"/>
        </w:rPr>
        <w:t>：</w:t>
      </w:r>
      <w:r>
        <w:rPr>
          <w:rFonts w:ascii="宋体" w:hAnsi="宋体" w:eastAsia="宋体" w:cs="Calibri"/>
          <w:sz w:val="24"/>
          <w:szCs w:val="24"/>
          <w:lang w:val="en-US" w:eastAsia="zh-CN" w:bidi="ar-SA"/>
        </w:rPr>
        <w:fldChar w:fldCharType="begin">
          <w:ffData>
            <w:name w:val="Text1"/>
            <w:enabled/>
            <w:calcOnExit w:val="0"/>
            <w:textInput>
              <w:default w:val="2026"/>
            </w:textInput>
          </w:ffData>
        </w:fldChar>
      </w:r>
      <w:r>
        <w:rPr>
          <w:rFonts w:ascii="宋体" w:hAnsi="宋体" w:eastAsia="宋体" w:cs="Calibri"/>
          <w:sz w:val="24"/>
          <w:szCs w:val="24"/>
          <w:lang w:val="en-US" w:eastAsia="zh-CN" w:bidi="ar-SA"/>
        </w:rPr>
        <w:instrText xml:space="preserve">FORMTEXT</w:instrText>
      </w:r>
      <w:r>
        <w:rPr>
          <w:rFonts w:ascii="宋体" w:hAnsi="宋体" w:eastAsia="宋体" w:cs="Calibri"/>
          <w:sz w:val="24"/>
          <w:szCs w:val="24"/>
          <w:lang w:val="en-US" w:eastAsia="zh-CN" w:bidi="ar-SA"/>
        </w:rPr>
        <w:fldChar w:fldCharType="separate"/>
      </w:r>
      <w:r>
        <w:rPr>
          <w:rFonts w:ascii="宋体" w:hAnsi="宋体" w:eastAsia="宋体" w:cs="Calibri"/>
          <w:sz w:val="24"/>
          <w:szCs w:val="24"/>
          <w:lang w:val="en-US" w:eastAsia="zh-CN" w:bidi="ar-SA"/>
        </w:rPr>
        <w:t>2026</w:t>
      </w:r>
      <w:r>
        <w:rPr>
          <w:rFonts w:ascii="宋体" w:hAnsi="宋体" w:eastAsia="宋体" w:cs="Calibri"/>
          <w:sz w:val="24"/>
          <w:szCs w:val="24"/>
          <w:lang w:val="en-US" w:eastAsia="zh-CN" w:bidi="ar-SA"/>
        </w:rPr>
        <w:fldChar w:fldCharType="end"/>
      </w:r>
      <w:r>
        <w:rPr>
          <w:rFonts w:hint="eastAsia" w:ascii="宋体" w:hAnsi="宋体"/>
          <w:sz w:val="24"/>
          <w:lang w:eastAsia="zh-CN"/>
        </w:rPr>
        <w:t>年</w:t>
      </w:r>
      <w:r>
        <w:rPr>
          <w:rFonts w:hint="eastAsia" w:ascii="宋体" w:hAnsi="宋体" w:eastAsia="宋体" w:cs="Calibri"/>
          <w:sz w:val="24"/>
          <w:szCs w:val="24"/>
          <w:lang w:val="en-US" w:eastAsia="zh-CN" w:bidi="ar-SA"/>
        </w:rPr>
        <w:fldChar w:fldCharType="begin">
          <w:ffData>
            <w:name w:val="Text1"/>
            <w:enabled/>
            <w:calcOnExit w:val="0"/>
            <w:textInput>
              <w:default w:val="1"/>
            </w:textInput>
          </w:ffData>
        </w:fldChar>
      </w:r>
      <w:r>
        <w:rPr>
          <w:rFonts w:hint="eastAsia" w:ascii="宋体" w:hAnsi="宋体" w:eastAsia="宋体" w:cs="Calibri"/>
          <w:sz w:val="24"/>
          <w:szCs w:val="24"/>
          <w:lang w:val="en-US" w:eastAsia="zh-CN" w:bidi="ar-SA"/>
        </w:rPr>
        <w:instrText xml:space="preserve">FORMTEXT</w:instrText>
      </w:r>
      <w:r>
        <w:rPr>
          <w:rFonts w:hint="eastAsia" w:ascii="宋体" w:hAnsi="宋体" w:eastAsia="宋体" w:cs="Calibri"/>
          <w:sz w:val="24"/>
          <w:szCs w:val="24"/>
          <w:lang w:val="en-US" w:eastAsia="zh-CN" w:bidi="ar-SA"/>
        </w:rPr>
        <w:fldChar w:fldCharType="separate"/>
      </w:r>
      <w:r>
        <w:rPr>
          <w:rFonts w:hint="eastAsia" w:ascii="宋体" w:hAnsi="宋体" w:eastAsia="宋体" w:cs="Calibri"/>
          <w:sz w:val="24"/>
          <w:szCs w:val="24"/>
          <w:lang w:val="en-US" w:eastAsia="zh-CN" w:bidi="ar-SA"/>
        </w:rPr>
        <w:t>1</w:t>
      </w:r>
      <w:r>
        <w:rPr>
          <w:rFonts w:hint="eastAsia" w:ascii="宋体" w:hAnsi="宋体" w:eastAsia="宋体" w:cs="Calibri"/>
          <w:sz w:val="24"/>
          <w:szCs w:val="24"/>
          <w:lang w:val="en-US" w:eastAsia="zh-CN" w:bidi="ar-SA"/>
        </w:rPr>
        <w:fldChar w:fldCharType="end"/>
      </w:r>
      <w:r>
        <w:rPr>
          <w:rFonts w:hint="eastAsia" w:ascii="宋体" w:hAnsi="宋体"/>
          <w:sz w:val="24"/>
          <w:lang w:eastAsia="zh-CN"/>
        </w:rPr>
        <w:t>月</w:t>
      </w:r>
      <w:bookmarkStart w:id="272" w:name="_GoBack"/>
      <w:bookmarkStart w:id="271" w:name="Text1"/>
      <w:r>
        <w:rPr>
          <w:rFonts w:hint="eastAsia" w:ascii="宋体" w:hAnsi="宋体" w:eastAsia="宋体" w:cs="Calibri"/>
          <w:sz w:val="24"/>
          <w:szCs w:val="24"/>
          <w:lang w:val="en-US" w:eastAsia="zh-CN" w:bidi="ar-SA"/>
        </w:rPr>
        <w:fldChar w:fldCharType="begin">
          <w:ffData>
            <w:name w:val="Text1"/>
            <w:enabled/>
            <w:calcOnExit w:val="0"/>
            <w:textInput>
              <w:default w:val="30"/>
            </w:textInput>
          </w:ffData>
        </w:fldChar>
      </w:r>
      <w:r>
        <w:rPr>
          <w:rFonts w:hint="eastAsia" w:ascii="宋体" w:hAnsi="宋体" w:eastAsia="宋体" w:cs="Calibri"/>
          <w:sz w:val="24"/>
          <w:szCs w:val="24"/>
          <w:lang w:val="en-US" w:eastAsia="zh-CN" w:bidi="ar-SA"/>
        </w:rPr>
        <w:instrText xml:space="preserve">FORMTEXT</w:instrText>
      </w:r>
      <w:r>
        <w:rPr>
          <w:rFonts w:hint="eastAsia" w:ascii="宋体" w:hAnsi="宋体" w:eastAsia="宋体" w:cs="Calibri"/>
          <w:sz w:val="24"/>
          <w:szCs w:val="24"/>
          <w:lang w:val="en-US" w:eastAsia="zh-CN" w:bidi="ar-SA"/>
        </w:rPr>
        <w:fldChar w:fldCharType="separate"/>
      </w:r>
      <w:r>
        <w:rPr>
          <w:rFonts w:hint="eastAsia" w:ascii="宋体" w:hAnsi="宋体" w:eastAsia="宋体" w:cs="Calibri"/>
          <w:sz w:val="24"/>
          <w:szCs w:val="24"/>
          <w:lang w:val="en-US" w:eastAsia="zh-CN" w:bidi="ar-SA"/>
        </w:rPr>
        <w:t>30</w:t>
      </w:r>
      <w:r>
        <w:rPr>
          <w:rFonts w:hint="eastAsia" w:ascii="宋体" w:hAnsi="宋体" w:eastAsia="宋体" w:cs="Calibri"/>
          <w:sz w:val="24"/>
          <w:szCs w:val="24"/>
          <w:lang w:val="en-US" w:eastAsia="zh-CN" w:bidi="ar-SA"/>
        </w:rPr>
        <w:fldChar w:fldCharType="end"/>
      </w:r>
      <w:bookmarkEnd w:id="271"/>
      <w:bookmarkEnd w:id="272"/>
      <w:r>
        <w:rPr>
          <w:rFonts w:hint="eastAsia" w:ascii="宋体" w:hAnsi="宋体"/>
          <w:sz w:val="24"/>
          <w:highlight w:val="white"/>
          <w:lang w:eastAsia="zh-CN"/>
        </w:rPr>
        <w:t>日</w:t>
      </w:r>
    </w:p>
    <w:p>
      <w:pPr>
        <w:snapToGrid w:val="0"/>
        <w:spacing w:line="360" w:lineRule="auto"/>
        <w:ind w:right="26"/>
        <w:rPr>
          <w:rFonts w:ascii="宋体" w:hAnsi="宋体"/>
          <w:lang w:eastAsia="zh-CN"/>
        </w:rPr>
      </w:pPr>
    </w:p>
    <w:sectPr>
      <w:headerReference r:id="rId8" w:type="default"/>
      <w:footerReference r:id="rId9"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napToGrid/>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napToGrid/>
      <w:jc w:val="center"/>
    </w:pPr>
    <w:r>
      <w:fldChar w:fldCharType="begin"/>
    </w:r>
    <w:r>
      <w:rPr>
        <w:highlight w:val="white"/>
      </w:rPr>
      <w:instrText xml:space="preserve"> PAGE   \* MERGEFORMAT </w:instrText>
    </w:r>
    <w:r>
      <w:fldChar w:fldCharType="separate"/>
    </w:r>
    <w:r>
      <w:rPr>
        <w:highlight w:val="white"/>
        <w:lang w:val="zh-CN"/>
      </w:rPr>
      <w:t>44</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napToGri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napToGrid/>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252"/>
        <w:tab w:val="right" w:pos="8504"/>
        <w:tab w:val="clear" w:pos="4153"/>
        <w:tab w:val="clear" w:pos="8306"/>
      </w:tabs>
      <w:snapToGrid/>
      <w:jc w:val="both"/>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8C62A"/>
    <w:multiLevelType w:val="multilevel"/>
    <w:tmpl w:val="01E8C62A"/>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
    <w:nsid w:val="0771C11D"/>
    <w:multiLevelType w:val="multilevel"/>
    <w:tmpl w:val="0771C11D"/>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2">
    <w:nsid w:val="0A92BB27"/>
    <w:multiLevelType w:val="multilevel"/>
    <w:tmpl w:val="0A92BB27"/>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3">
    <w:nsid w:val="0ACA7FB2"/>
    <w:multiLevelType w:val="multilevel"/>
    <w:tmpl w:val="0ACA7FB2"/>
    <w:lvl w:ilvl="0" w:tentative="0">
      <w:start w:val="1"/>
      <w:numFmt w:val="chineseCountingThousand"/>
      <w:lvlText w:val="%1、"/>
      <w:lvlJc w:val="left"/>
      <w:pPr>
        <w:snapToGrid/>
        <w:ind w:left="420" w:hanging="420"/>
      </w:pPr>
      <w:rPr>
        <w:sz w:val="28"/>
        <w:szCs w:val="28"/>
      </w:rPr>
    </w:lvl>
    <w:lvl w:ilvl="1" w:tentative="0">
      <w:start w:val="1"/>
      <w:numFmt w:val="decimal"/>
      <w:lvlText w:val="%2."/>
      <w:lvlJc w:val="left"/>
      <w:pPr>
        <w:tabs>
          <w:tab w:val="left" w:pos="840"/>
        </w:tabs>
        <w:snapToGrid/>
        <w:ind w:left="840" w:hanging="420"/>
      </w:pPr>
      <w:rPr>
        <w:b w:val="0"/>
        <w:sz w:val="24"/>
        <w:szCs w:val="28"/>
      </w:rPr>
    </w:lvl>
    <w:lvl w:ilvl="2" w:tentative="0">
      <w:start w:val="1"/>
      <w:numFmt w:val="lowerRoman"/>
      <w:lvlText w:val="%3."/>
      <w:lvlJc w:val="right"/>
      <w:pPr>
        <w:snapToGrid/>
        <w:ind w:left="1260" w:hanging="420"/>
      </w:pPr>
    </w:lvl>
    <w:lvl w:ilvl="3" w:tentative="0">
      <w:start w:val="1"/>
      <w:numFmt w:val="decimal"/>
      <w:lvlText w:val="%4."/>
      <w:lvlJc w:val="left"/>
      <w:pPr>
        <w:snapToGrid/>
        <w:ind w:left="1680" w:hanging="420"/>
      </w:pPr>
    </w:lvl>
    <w:lvl w:ilvl="4" w:tentative="0">
      <w:start w:val="1"/>
      <w:numFmt w:val="lowerLetter"/>
      <w:lvlText w:val="%5)"/>
      <w:lvlJc w:val="left"/>
      <w:pPr>
        <w:snapToGrid/>
        <w:ind w:left="2100" w:hanging="420"/>
      </w:pPr>
    </w:lvl>
    <w:lvl w:ilvl="5" w:tentative="0">
      <w:start w:val="1"/>
      <w:numFmt w:val="lowerRoman"/>
      <w:lvlText w:val="%6."/>
      <w:lvlJc w:val="right"/>
      <w:pPr>
        <w:snapToGrid/>
        <w:ind w:left="2520" w:hanging="420"/>
      </w:pPr>
    </w:lvl>
    <w:lvl w:ilvl="6" w:tentative="0">
      <w:start w:val="1"/>
      <w:numFmt w:val="decimal"/>
      <w:lvlText w:val="%7."/>
      <w:lvlJc w:val="left"/>
      <w:pPr>
        <w:snapToGrid/>
        <w:ind w:left="2940" w:hanging="420"/>
      </w:pPr>
    </w:lvl>
    <w:lvl w:ilvl="7" w:tentative="0">
      <w:start w:val="1"/>
      <w:numFmt w:val="lowerLetter"/>
      <w:lvlText w:val="%8)"/>
      <w:lvlJc w:val="left"/>
      <w:pPr>
        <w:snapToGrid/>
        <w:ind w:left="3360" w:hanging="420"/>
      </w:pPr>
    </w:lvl>
    <w:lvl w:ilvl="8" w:tentative="0">
      <w:start w:val="1"/>
      <w:numFmt w:val="lowerRoman"/>
      <w:lvlText w:val="%9."/>
      <w:lvlJc w:val="right"/>
      <w:pPr>
        <w:snapToGrid/>
        <w:ind w:left="3780" w:hanging="420"/>
      </w:pPr>
    </w:lvl>
  </w:abstractNum>
  <w:abstractNum w:abstractNumId="4">
    <w:nsid w:val="1212D258"/>
    <w:multiLevelType w:val="multilevel"/>
    <w:tmpl w:val="1212D258"/>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5">
    <w:nsid w:val="14980AF5"/>
    <w:multiLevelType w:val="multilevel"/>
    <w:tmpl w:val="14980AF5"/>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6">
    <w:nsid w:val="15B706FB"/>
    <w:multiLevelType w:val="multilevel"/>
    <w:tmpl w:val="15B706FB"/>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7">
    <w:nsid w:val="1A26D044"/>
    <w:multiLevelType w:val="multilevel"/>
    <w:tmpl w:val="1A26D044"/>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8">
    <w:nsid w:val="1F039DDE"/>
    <w:multiLevelType w:val="multilevel"/>
    <w:tmpl w:val="1F039DDE"/>
    <w:lvl w:ilvl="0" w:tentative="0">
      <w:start w:val="1"/>
      <w:numFmt w:val="decimal"/>
      <w:lvlText w:val="%1."/>
      <w:lvlJc w:val="left"/>
      <w:pPr>
        <w:snapToGrid/>
        <w:ind w:left="900" w:hanging="420"/>
      </w:pPr>
      <w:rPr>
        <w:rFonts w:ascii="宋体" w:hAnsi="宋体" w:eastAsia="宋体"/>
        <w:sz w:val="24"/>
      </w:r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9">
    <w:nsid w:val="20DD8719"/>
    <w:multiLevelType w:val="multilevel"/>
    <w:tmpl w:val="20DD8719"/>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0">
    <w:nsid w:val="2233EF83"/>
    <w:multiLevelType w:val="multilevel"/>
    <w:tmpl w:val="2233EF83"/>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1">
    <w:nsid w:val="2B0B490E"/>
    <w:multiLevelType w:val="multilevel"/>
    <w:tmpl w:val="2B0B490E"/>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2">
    <w:nsid w:val="2C9AD660"/>
    <w:multiLevelType w:val="multilevel"/>
    <w:tmpl w:val="2C9AD660"/>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3">
    <w:nsid w:val="2CDBD257"/>
    <w:multiLevelType w:val="multilevel"/>
    <w:tmpl w:val="2CDBD257"/>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4">
    <w:nsid w:val="3C2EC883"/>
    <w:multiLevelType w:val="multilevel"/>
    <w:tmpl w:val="3C2EC883"/>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5">
    <w:nsid w:val="3DD020BE"/>
    <w:multiLevelType w:val="multilevel"/>
    <w:tmpl w:val="3DD020BE"/>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6">
    <w:nsid w:val="416DC588"/>
    <w:multiLevelType w:val="multilevel"/>
    <w:tmpl w:val="416DC588"/>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7">
    <w:nsid w:val="51C51ADF"/>
    <w:multiLevelType w:val="multilevel"/>
    <w:tmpl w:val="51C51ADF"/>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8">
    <w:nsid w:val="5A9E4BFC"/>
    <w:multiLevelType w:val="multilevel"/>
    <w:tmpl w:val="5A9E4BFC"/>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19">
    <w:nsid w:val="646B74A2"/>
    <w:multiLevelType w:val="multilevel"/>
    <w:tmpl w:val="646B74A2"/>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20">
    <w:nsid w:val="64F61570"/>
    <w:multiLevelType w:val="multilevel"/>
    <w:tmpl w:val="64F61570"/>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21">
    <w:nsid w:val="65DEAD27"/>
    <w:multiLevelType w:val="multilevel"/>
    <w:tmpl w:val="65DEAD27"/>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22">
    <w:nsid w:val="747E6D0B"/>
    <w:multiLevelType w:val="multilevel"/>
    <w:tmpl w:val="747E6D0B"/>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abstractNum w:abstractNumId="23">
    <w:nsid w:val="7A194DB0"/>
    <w:multiLevelType w:val="multilevel"/>
    <w:tmpl w:val="7A194DB0"/>
    <w:lvl w:ilvl="0" w:tentative="0">
      <w:start w:val="1"/>
      <w:numFmt w:val="decimal"/>
      <w:lvlText w:val="%1)"/>
      <w:lvlJc w:val="left"/>
      <w:pPr>
        <w:snapToGrid/>
        <w:ind w:left="900" w:hanging="420"/>
      </w:p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num w:numId="1">
    <w:abstractNumId w:val="3"/>
  </w:num>
  <w:num w:numId="2">
    <w:abstractNumId w:val="12"/>
  </w:num>
  <w:num w:numId="3">
    <w:abstractNumId w:val="23"/>
  </w:num>
  <w:num w:numId="4">
    <w:abstractNumId w:val="16"/>
  </w:num>
  <w:num w:numId="5">
    <w:abstractNumId w:val="22"/>
  </w:num>
  <w:num w:numId="6">
    <w:abstractNumId w:val="6"/>
  </w:num>
  <w:num w:numId="7">
    <w:abstractNumId w:val="17"/>
  </w:num>
  <w:num w:numId="8">
    <w:abstractNumId w:val="2"/>
  </w:num>
  <w:num w:numId="9">
    <w:abstractNumId w:val="21"/>
  </w:num>
  <w:num w:numId="10">
    <w:abstractNumId w:val="1"/>
  </w:num>
  <w:num w:numId="11">
    <w:abstractNumId w:val="4"/>
  </w:num>
  <w:num w:numId="12">
    <w:abstractNumId w:val="10"/>
  </w:num>
  <w:num w:numId="13">
    <w:abstractNumId w:val="13"/>
  </w:num>
  <w:num w:numId="14">
    <w:abstractNumId w:val="8"/>
  </w:num>
  <w:num w:numId="15">
    <w:abstractNumId w:val="11"/>
  </w:num>
  <w:num w:numId="16">
    <w:abstractNumId w:val="19"/>
  </w:num>
  <w:num w:numId="17">
    <w:abstractNumId w:val="7"/>
  </w:num>
  <w:num w:numId="18">
    <w:abstractNumId w:val="14"/>
  </w:num>
  <w:num w:numId="19">
    <w:abstractNumId w:val="9"/>
  </w:num>
  <w:num w:numId="20">
    <w:abstractNumId w:val="20"/>
  </w:num>
  <w:num w:numId="21">
    <w:abstractNumId w:val="15"/>
  </w:num>
  <w:num w:numId="22">
    <w:abstractNumId w:val="18"/>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characterSpacingControl w:val="compressPunctuation"/>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FF8"/>
    <w:rsid w:val="00046064"/>
    <w:rsid w:val="00104C3A"/>
    <w:rsid w:val="00114C21"/>
    <w:rsid w:val="00362FF8"/>
    <w:rsid w:val="00387D10"/>
    <w:rsid w:val="004F1301"/>
    <w:rsid w:val="005559C4"/>
    <w:rsid w:val="0058224D"/>
    <w:rsid w:val="005870BB"/>
    <w:rsid w:val="006551A4"/>
    <w:rsid w:val="006C5FAB"/>
    <w:rsid w:val="007248FD"/>
    <w:rsid w:val="0078697A"/>
    <w:rsid w:val="008601AA"/>
    <w:rsid w:val="009308E1"/>
    <w:rsid w:val="0095021C"/>
    <w:rsid w:val="00BC169E"/>
    <w:rsid w:val="00C66FE8"/>
    <w:rsid w:val="00D40064"/>
    <w:rsid w:val="00DB4287"/>
    <w:rsid w:val="00E2508A"/>
    <w:rsid w:val="00EC1C76"/>
    <w:rsid w:val="00EE350C"/>
    <w:rsid w:val="00F12FDA"/>
    <w:rsid w:val="00FB7C1E"/>
    <w:rsid w:val="0D6A6EEC"/>
    <w:rsid w:val="46F2232E"/>
    <w:rsid w:val="5BB683A8"/>
    <w:rsid w:val="70900F3C"/>
    <w:rsid w:val="717973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Light"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nhideWhenUsed="0" w:uiPriority="0" w:semiHidden="0" w:name="annotation reference"/>
    <w:lsdException w:uiPriority="99" w:name="line number"/>
    <w:lsdException w:uiPriority="99"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Light" w:eastAsia="宋体" w:cs="Calibri"/>
      <w:sz w:val="21"/>
      <w:szCs w:val="24"/>
      <w:lang w:val="en-US" w:eastAsia="en-US" w:bidi="ar-SA"/>
    </w:rPr>
  </w:style>
  <w:style w:type="paragraph" w:styleId="2">
    <w:name w:val="heading 1"/>
    <w:basedOn w:val="1"/>
    <w:next w:val="1"/>
    <w:link w:val="58"/>
    <w:qFormat/>
    <w:uiPriority w:val="0"/>
    <w:pPr>
      <w:keepNext/>
      <w:keepLines/>
      <w:spacing w:before="340" w:after="330" w:line="576" w:lineRule="auto"/>
      <w:outlineLvl w:val="0"/>
    </w:pPr>
    <w:rPr>
      <w:b/>
      <w:bCs/>
      <w:sz w:val="44"/>
      <w:szCs w:val="44"/>
    </w:rPr>
  </w:style>
  <w:style w:type="paragraph" w:styleId="3">
    <w:name w:val="heading 2"/>
    <w:basedOn w:val="1"/>
    <w:next w:val="1"/>
    <w:link w:val="59"/>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40"/>
    <w:unhideWhenUsed/>
    <w:qFormat/>
    <w:uiPriority w:val="9"/>
    <w:pPr>
      <w:keepNext/>
      <w:keepLines/>
      <w:spacing w:before="320" w:after="200"/>
      <w:outlineLvl w:val="2"/>
    </w:pPr>
    <w:rPr>
      <w:rFonts w:ascii="Arial" w:hAnsi="Arial" w:cs="Arial"/>
      <w:sz w:val="30"/>
      <w:szCs w:val="30"/>
    </w:rPr>
  </w:style>
  <w:style w:type="paragraph" w:styleId="5">
    <w:name w:val="heading 4"/>
    <w:basedOn w:val="1"/>
    <w:next w:val="1"/>
    <w:link w:val="41"/>
    <w:unhideWhenUsed/>
    <w:qFormat/>
    <w:uiPriority w:val="9"/>
    <w:pPr>
      <w:keepNext/>
      <w:keepLines/>
      <w:spacing w:before="320" w:after="200"/>
      <w:outlineLvl w:val="3"/>
    </w:pPr>
    <w:rPr>
      <w:rFonts w:ascii="Arial" w:hAnsi="Arial" w:cs="Arial"/>
      <w:b/>
      <w:bCs/>
      <w:sz w:val="26"/>
      <w:szCs w:val="26"/>
    </w:rPr>
  </w:style>
  <w:style w:type="paragraph" w:styleId="6">
    <w:name w:val="heading 5"/>
    <w:basedOn w:val="1"/>
    <w:next w:val="1"/>
    <w:link w:val="42"/>
    <w:unhideWhenUsed/>
    <w:qFormat/>
    <w:uiPriority w:val="9"/>
    <w:pPr>
      <w:keepNext/>
      <w:keepLines/>
      <w:spacing w:before="320" w:after="200"/>
      <w:outlineLvl w:val="4"/>
    </w:pPr>
    <w:rPr>
      <w:rFonts w:ascii="Arial" w:hAnsi="Arial" w:cs="Arial"/>
      <w:b/>
      <w:bCs/>
      <w:sz w:val="24"/>
    </w:rPr>
  </w:style>
  <w:style w:type="paragraph" w:styleId="7">
    <w:name w:val="heading 6"/>
    <w:basedOn w:val="1"/>
    <w:next w:val="1"/>
    <w:link w:val="43"/>
    <w:unhideWhenUsed/>
    <w:qFormat/>
    <w:uiPriority w:val="9"/>
    <w:pPr>
      <w:keepNext/>
      <w:keepLines/>
      <w:spacing w:before="320" w:after="200"/>
      <w:outlineLvl w:val="5"/>
    </w:pPr>
    <w:rPr>
      <w:rFonts w:ascii="Arial" w:hAnsi="Arial" w:cs="Arial"/>
      <w:b/>
      <w:bCs/>
      <w:sz w:val="22"/>
      <w:szCs w:val="22"/>
    </w:rPr>
  </w:style>
  <w:style w:type="paragraph" w:styleId="8">
    <w:name w:val="heading 7"/>
    <w:basedOn w:val="1"/>
    <w:next w:val="1"/>
    <w:link w:val="44"/>
    <w:unhideWhenUsed/>
    <w:qFormat/>
    <w:uiPriority w:val="9"/>
    <w:pPr>
      <w:keepNext/>
      <w:keepLines/>
      <w:spacing w:before="320" w:after="200"/>
      <w:outlineLvl w:val="6"/>
    </w:pPr>
    <w:rPr>
      <w:rFonts w:ascii="Arial" w:hAnsi="Arial" w:cs="Arial"/>
      <w:b/>
      <w:bCs/>
      <w:i/>
      <w:iCs/>
      <w:sz w:val="22"/>
      <w:szCs w:val="22"/>
    </w:rPr>
  </w:style>
  <w:style w:type="paragraph" w:styleId="9">
    <w:name w:val="heading 8"/>
    <w:basedOn w:val="1"/>
    <w:next w:val="1"/>
    <w:link w:val="45"/>
    <w:unhideWhenUsed/>
    <w:qFormat/>
    <w:uiPriority w:val="9"/>
    <w:pPr>
      <w:keepNext/>
      <w:keepLines/>
      <w:spacing w:before="320" w:after="200"/>
      <w:outlineLvl w:val="7"/>
    </w:pPr>
    <w:rPr>
      <w:rFonts w:ascii="Arial" w:hAnsi="Arial" w:cs="Arial"/>
      <w:i/>
      <w:iCs/>
      <w:sz w:val="22"/>
      <w:szCs w:val="22"/>
    </w:rPr>
  </w:style>
  <w:style w:type="paragraph" w:styleId="10">
    <w:name w:val="heading 9"/>
    <w:basedOn w:val="1"/>
    <w:next w:val="1"/>
    <w:link w:val="46"/>
    <w:unhideWhenUsed/>
    <w:qFormat/>
    <w:uiPriority w:val="9"/>
    <w:pPr>
      <w:keepNext/>
      <w:keepLines/>
      <w:spacing w:before="320" w:after="200"/>
      <w:outlineLvl w:val="8"/>
    </w:pPr>
    <w:rPr>
      <w:rFonts w:ascii="Arial" w:hAnsi="Arial" w:cs="Arial"/>
      <w:i/>
      <w:iCs/>
      <w:szCs w:val="21"/>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annotation text"/>
    <w:basedOn w:val="1"/>
    <w:link w:val="60"/>
    <w:uiPriority w:val="0"/>
    <w:pPr>
      <w:jc w:val="left"/>
    </w:pPr>
  </w:style>
  <w:style w:type="paragraph" w:styleId="14">
    <w:name w:val="Body Text"/>
    <w:basedOn w:val="1"/>
    <w:link w:val="61"/>
    <w:uiPriority w:val="0"/>
    <w:pPr>
      <w:spacing w:line="360" w:lineRule="auto"/>
    </w:pPr>
    <w:rPr>
      <w:sz w:val="24"/>
    </w:rPr>
  </w:style>
  <w:style w:type="paragraph" w:styleId="15">
    <w:name w:val="toc 5"/>
    <w:basedOn w:val="1"/>
    <w:next w:val="1"/>
    <w:unhideWhenUsed/>
    <w:qFormat/>
    <w:uiPriority w:val="39"/>
    <w:pPr>
      <w:spacing w:after="57"/>
      <w:ind w:left="1134"/>
    </w:pPr>
  </w:style>
  <w:style w:type="paragraph" w:styleId="16">
    <w:name w:val="toc 3"/>
    <w:basedOn w:val="1"/>
    <w:next w:val="1"/>
    <w:unhideWhenUsed/>
    <w:qFormat/>
    <w:uiPriority w:val="39"/>
    <w:pPr>
      <w:spacing w:after="57"/>
      <w:ind w:left="567"/>
    </w:pPr>
  </w:style>
  <w:style w:type="paragraph" w:styleId="17">
    <w:name w:val="toc 8"/>
    <w:basedOn w:val="1"/>
    <w:next w:val="1"/>
    <w:unhideWhenUsed/>
    <w:qFormat/>
    <w:uiPriority w:val="39"/>
    <w:pPr>
      <w:spacing w:after="57"/>
      <w:ind w:left="1984"/>
    </w:pPr>
  </w:style>
  <w:style w:type="paragraph" w:styleId="18">
    <w:name w:val="Body Text Indent 2"/>
    <w:basedOn w:val="1"/>
    <w:uiPriority w:val="0"/>
    <w:pPr>
      <w:spacing w:after="120" w:line="480" w:lineRule="auto"/>
      <w:ind w:left="420" w:leftChars="200"/>
    </w:pPr>
  </w:style>
  <w:style w:type="paragraph" w:styleId="19">
    <w:name w:val="endnote text"/>
    <w:basedOn w:val="1"/>
    <w:link w:val="57"/>
    <w:semiHidden/>
    <w:unhideWhenUsed/>
    <w:qFormat/>
    <w:uiPriority w:val="99"/>
    <w:rPr>
      <w:sz w:val="20"/>
    </w:rPr>
  </w:style>
  <w:style w:type="paragraph" w:styleId="20">
    <w:name w:val="Balloon Text"/>
    <w:basedOn w:val="1"/>
    <w:link w:val="62"/>
    <w:uiPriority w:val="0"/>
    <w:rPr>
      <w:sz w:val="18"/>
      <w:szCs w:val="18"/>
    </w:rPr>
  </w:style>
  <w:style w:type="paragraph" w:styleId="21">
    <w:name w:val="footer"/>
    <w:basedOn w:val="1"/>
    <w:link w:val="55"/>
    <w:uiPriority w:val="0"/>
    <w:pPr>
      <w:tabs>
        <w:tab w:val="center" w:pos="4153"/>
        <w:tab w:val="right" w:pos="8306"/>
      </w:tabs>
      <w:snapToGrid w:val="0"/>
      <w:jc w:val="left"/>
    </w:pPr>
    <w:rPr>
      <w:sz w:val="18"/>
      <w:szCs w:val="18"/>
    </w:rPr>
  </w:style>
  <w:style w:type="paragraph" w:styleId="22">
    <w:name w:val="header"/>
    <w:basedOn w:val="1"/>
    <w:link w:val="63"/>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iPriority w:val="0"/>
    <w:pPr>
      <w:tabs>
        <w:tab w:val="left" w:pos="840"/>
        <w:tab w:val="right" w:leader="dot" w:pos="8296"/>
      </w:tabs>
      <w:spacing w:line="360" w:lineRule="auto"/>
    </w:pPr>
  </w:style>
  <w:style w:type="paragraph" w:styleId="24">
    <w:name w:val="toc 4"/>
    <w:basedOn w:val="1"/>
    <w:next w:val="1"/>
    <w:unhideWhenUsed/>
    <w:uiPriority w:val="39"/>
    <w:pPr>
      <w:spacing w:after="57"/>
      <w:ind w:left="850"/>
    </w:pPr>
  </w:style>
  <w:style w:type="paragraph" w:styleId="25">
    <w:name w:val="Subtitle"/>
    <w:basedOn w:val="1"/>
    <w:next w:val="1"/>
    <w:link w:val="50"/>
    <w:qFormat/>
    <w:uiPriority w:val="11"/>
    <w:pPr>
      <w:spacing w:before="200" w:after="200"/>
    </w:pPr>
    <w:rPr>
      <w:sz w:val="24"/>
    </w:rPr>
  </w:style>
  <w:style w:type="paragraph" w:styleId="26">
    <w:name w:val="footnote text"/>
    <w:basedOn w:val="1"/>
    <w:link w:val="56"/>
    <w:semiHidden/>
    <w:unhideWhenUsed/>
    <w:qFormat/>
    <w:uiPriority w:val="99"/>
    <w:pPr>
      <w:spacing w:after="40"/>
    </w:pPr>
    <w:rPr>
      <w:sz w:val="18"/>
    </w:rPr>
  </w:style>
  <w:style w:type="paragraph" w:styleId="27">
    <w:name w:val="toc 6"/>
    <w:basedOn w:val="1"/>
    <w:next w:val="1"/>
    <w:unhideWhenUsed/>
    <w:uiPriority w:val="39"/>
    <w:pPr>
      <w:spacing w:after="57"/>
      <w:ind w:left="1417"/>
    </w:pPr>
  </w:style>
  <w:style w:type="paragraph" w:styleId="28">
    <w:name w:val="table of figures"/>
    <w:basedOn w:val="1"/>
    <w:next w:val="1"/>
    <w:unhideWhenUsed/>
    <w:qFormat/>
    <w:uiPriority w:val="99"/>
  </w:style>
  <w:style w:type="paragraph" w:styleId="29">
    <w:name w:val="toc 2"/>
    <w:basedOn w:val="1"/>
    <w:next w:val="1"/>
    <w:uiPriority w:val="0"/>
    <w:pPr>
      <w:tabs>
        <w:tab w:val="left" w:pos="1050"/>
        <w:tab w:val="right" w:leader="dot" w:pos="8494"/>
      </w:tabs>
      <w:spacing w:line="360" w:lineRule="auto"/>
      <w:ind w:left="420" w:leftChars="200"/>
    </w:pPr>
  </w:style>
  <w:style w:type="paragraph" w:styleId="30">
    <w:name w:val="toc 9"/>
    <w:basedOn w:val="1"/>
    <w:next w:val="1"/>
    <w:unhideWhenUsed/>
    <w:qFormat/>
    <w:uiPriority w:val="39"/>
    <w:pPr>
      <w:spacing w:after="57"/>
      <w:ind w:left="2268"/>
    </w:pPr>
  </w:style>
  <w:style w:type="paragraph" w:styleId="31">
    <w:name w:val="Title"/>
    <w:basedOn w:val="1"/>
    <w:next w:val="1"/>
    <w:link w:val="49"/>
    <w:qFormat/>
    <w:uiPriority w:val="10"/>
    <w:pPr>
      <w:spacing w:before="300" w:after="200"/>
      <w:contextualSpacing/>
    </w:pPr>
    <w:rPr>
      <w:sz w:val="48"/>
      <w:szCs w:val="48"/>
    </w:rPr>
  </w:style>
  <w:style w:type="paragraph" w:styleId="32">
    <w:name w:val="annotation subject"/>
    <w:basedOn w:val="13"/>
    <w:next w:val="13"/>
    <w:link w:val="64"/>
    <w:uiPriority w:val="0"/>
    <w:rPr>
      <w:b/>
      <w:bCs/>
    </w:rPr>
  </w:style>
  <w:style w:type="table" w:styleId="34">
    <w:name w:val="Table Grid"/>
    <w:basedOn w:val="33"/>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pPr>
        <w:snapToGrid/>
      </w:pPr>
    </w:tblStylePr>
    <w:tblStylePr w:type="lastRow">
      <w:pPr>
        <w:snapToGrid/>
      </w:pPr>
    </w:tblStylePr>
    <w:tblStylePr w:type="firstCol">
      <w:pPr>
        <w:snapToGrid/>
      </w:pPr>
    </w:tblStylePr>
    <w:tblStylePr w:type="lastCol">
      <w:pPr>
        <w:snapToGrid/>
      </w:pPr>
    </w:tblStylePr>
    <w:tblStylePr w:type="band1Vert">
      <w:pPr>
        <w:snapToGrid/>
      </w:pPr>
    </w:tblStylePr>
    <w:tblStylePr w:type="band2Vert">
      <w:pPr>
        <w:snapToGrid/>
      </w:pPr>
    </w:tblStylePr>
    <w:tblStylePr w:type="band1Horz">
      <w:pPr>
        <w:snapToGrid/>
      </w:p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character" w:styleId="36">
    <w:name w:val="endnote reference"/>
    <w:basedOn w:val="35"/>
    <w:semiHidden/>
    <w:unhideWhenUsed/>
    <w:uiPriority w:val="99"/>
    <w:rPr>
      <w:vertAlign w:val="superscript"/>
    </w:rPr>
  </w:style>
  <w:style w:type="character" w:styleId="37">
    <w:name w:val="Hyperlink"/>
    <w:uiPriority w:val="0"/>
    <w:rPr>
      <w:color w:val="0000FF"/>
      <w:u w:val="single"/>
    </w:rPr>
  </w:style>
  <w:style w:type="character" w:styleId="38">
    <w:name w:val="annotation reference"/>
    <w:uiPriority w:val="0"/>
    <w:rPr>
      <w:sz w:val="21"/>
      <w:szCs w:val="21"/>
    </w:rPr>
  </w:style>
  <w:style w:type="character" w:styleId="39">
    <w:name w:val="footnote reference"/>
    <w:basedOn w:val="35"/>
    <w:unhideWhenUsed/>
    <w:qFormat/>
    <w:uiPriority w:val="99"/>
    <w:rPr>
      <w:vertAlign w:val="superscript"/>
    </w:rPr>
  </w:style>
  <w:style w:type="character" w:customStyle="1" w:styleId="40">
    <w:name w:val="标题 3 字符"/>
    <w:basedOn w:val="35"/>
    <w:link w:val="4"/>
    <w:uiPriority w:val="9"/>
    <w:rPr>
      <w:rFonts w:ascii="Arial" w:hAnsi="Arial" w:cs="Arial"/>
      <w:sz w:val="30"/>
      <w:szCs w:val="30"/>
    </w:rPr>
  </w:style>
  <w:style w:type="character" w:customStyle="1" w:styleId="41">
    <w:name w:val="标题 4 字符"/>
    <w:basedOn w:val="35"/>
    <w:link w:val="5"/>
    <w:qFormat/>
    <w:uiPriority w:val="9"/>
    <w:rPr>
      <w:rFonts w:ascii="Arial" w:hAnsi="Arial" w:cs="Arial"/>
      <w:b/>
      <w:bCs/>
      <w:sz w:val="26"/>
      <w:szCs w:val="26"/>
    </w:rPr>
  </w:style>
  <w:style w:type="character" w:customStyle="1" w:styleId="42">
    <w:name w:val="标题 5 字符"/>
    <w:basedOn w:val="35"/>
    <w:link w:val="6"/>
    <w:uiPriority w:val="9"/>
    <w:rPr>
      <w:rFonts w:ascii="Arial" w:hAnsi="Arial" w:cs="Arial"/>
      <w:b/>
      <w:bCs/>
      <w:sz w:val="24"/>
      <w:szCs w:val="24"/>
    </w:rPr>
  </w:style>
  <w:style w:type="character" w:customStyle="1" w:styleId="43">
    <w:name w:val="标题 6 字符"/>
    <w:basedOn w:val="35"/>
    <w:link w:val="7"/>
    <w:qFormat/>
    <w:uiPriority w:val="9"/>
    <w:rPr>
      <w:rFonts w:ascii="Arial" w:hAnsi="Arial" w:cs="Arial"/>
      <w:b/>
      <w:bCs/>
      <w:sz w:val="22"/>
      <w:szCs w:val="22"/>
    </w:rPr>
  </w:style>
  <w:style w:type="character" w:customStyle="1" w:styleId="44">
    <w:name w:val="标题 7 字符"/>
    <w:basedOn w:val="35"/>
    <w:link w:val="8"/>
    <w:qFormat/>
    <w:uiPriority w:val="9"/>
    <w:rPr>
      <w:rFonts w:ascii="Arial" w:hAnsi="Arial" w:cs="Arial"/>
      <w:b/>
      <w:bCs/>
      <w:i/>
      <w:iCs/>
      <w:sz w:val="22"/>
      <w:szCs w:val="22"/>
    </w:rPr>
  </w:style>
  <w:style w:type="character" w:customStyle="1" w:styleId="45">
    <w:name w:val="标题 8 字符"/>
    <w:basedOn w:val="35"/>
    <w:link w:val="9"/>
    <w:qFormat/>
    <w:uiPriority w:val="9"/>
    <w:rPr>
      <w:rFonts w:ascii="Arial" w:hAnsi="Arial" w:cs="Arial"/>
      <w:i/>
      <w:iCs/>
      <w:sz w:val="22"/>
      <w:szCs w:val="22"/>
    </w:rPr>
  </w:style>
  <w:style w:type="character" w:customStyle="1" w:styleId="46">
    <w:name w:val="标题 9 字符"/>
    <w:basedOn w:val="35"/>
    <w:link w:val="10"/>
    <w:uiPriority w:val="9"/>
    <w:rPr>
      <w:rFonts w:ascii="Arial" w:hAnsi="Arial" w:cs="Arial"/>
      <w:i/>
      <w:iCs/>
      <w:sz w:val="21"/>
      <w:szCs w:val="21"/>
    </w:rPr>
  </w:style>
  <w:style w:type="paragraph" w:styleId="47">
    <w:name w:val="List Paragraph"/>
    <w:basedOn w:val="1"/>
    <w:qFormat/>
    <w:uiPriority w:val="34"/>
    <w:pPr>
      <w:ind w:left="720"/>
      <w:contextualSpacing/>
    </w:pPr>
  </w:style>
  <w:style w:type="paragraph" w:styleId="48">
    <w:name w:val="No Spacing"/>
    <w:qFormat/>
    <w:uiPriority w:val="1"/>
    <w:rPr>
      <w:rFonts w:ascii="Calibri" w:hAnsi="Calibri Light" w:eastAsia="宋体" w:cs="Calibri"/>
      <w:sz w:val="22"/>
      <w:szCs w:val="22"/>
      <w:lang w:val="en-US" w:eastAsia="en-US" w:bidi="ar-SA"/>
    </w:rPr>
  </w:style>
  <w:style w:type="character" w:customStyle="1" w:styleId="49">
    <w:name w:val="标题 字符"/>
    <w:basedOn w:val="35"/>
    <w:link w:val="31"/>
    <w:qFormat/>
    <w:uiPriority w:val="10"/>
    <w:rPr>
      <w:sz w:val="48"/>
      <w:szCs w:val="48"/>
    </w:rPr>
  </w:style>
  <w:style w:type="character" w:customStyle="1" w:styleId="50">
    <w:name w:val="副标题 字符"/>
    <w:basedOn w:val="35"/>
    <w:link w:val="25"/>
    <w:uiPriority w:val="11"/>
    <w:rPr>
      <w:sz w:val="24"/>
      <w:szCs w:val="24"/>
    </w:rPr>
  </w:style>
  <w:style w:type="paragraph" w:styleId="51">
    <w:name w:val="Quote"/>
    <w:basedOn w:val="1"/>
    <w:next w:val="1"/>
    <w:link w:val="52"/>
    <w:qFormat/>
    <w:uiPriority w:val="29"/>
    <w:pPr>
      <w:ind w:left="720" w:right="720"/>
    </w:pPr>
    <w:rPr>
      <w:i/>
    </w:rPr>
  </w:style>
  <w:style w:type="character" w:customStyle="1" w:styleId="52">
    <w:name w:val="引用 字符"/>
    <w:link w:val="51"/>
    <w:qFormat/>
    <w:uiPriority w:val="29"/>
    <w:rPr>
      <w:i/>
    </w:rPr>
  </w:style>
  <w:style w:type="paragraph" w:styleId="53">
    <w:name w:val="Intense Quote"/>
    <w:basedOn w:val="1"/>
    <w:next w:val="1"/>
    <w:link w:val="54"/>
    <w:qFormat/>
    <w:uiPriority w:val="30"/>
    <w:pPr>
      <w:pBdr>
        <w:top w:val="single" w:color="FFFFFF" w:sz="4" w:space="5"/>
        <w:left w:val="single" w:color="FFFFFF" w:sz="4" w:space="10"/>
        <w:bottom w:val="single" w:color="FFFFFF" w:sz="4" w:space="5"/>
        <w:right w:val="single" w:color="FFFFFF" w:sz="4" w:space="10"/>
      </w:pBdr>
      <w:shd w:val="clear" w:color="F2F2F2" w:fill="F2F2F2"/>
      <w:ind w:left="720" w:right="720"/>
    </w:pPr>
    <w:rPr>
      <w:i/>
    </w:rPr>
  </w:style>
  <w:style w:type="character" w:customStyle="1" w:styleId="54">
    <w:name w:val="明显引用 字符"/>
    <w:link w:val="53"/>
    <w:uiPriority w:val="30"/>
    <w:rPr>
      <w:i/>
    </w:rPr>
  </w:style>
  <w:style w:type="character" w:customStyle="1" w:styleId="55">
    <w:name w:val="页脚 字符"/>
    <w:link w:val="21"/>
    <w:uiPriority w:val="99"/>
  </w:style>
  <w:style w:type="character" w:customStyle="1" w:styleId="56">
    <w:name w:val="脚注文本 字符"/>
    <w:link w:val="26"/>
    <w:qFormat/>
    <w:uiPriority w:val="99"/>
    <w:rPr>
      <w:sz w:val="18"/>
    </w:rPr>
  </w:style>
  <w:style w:type="character" w:customStyle="1" w:styleId="57">
    <w:name w:val="尾注文本 字符"/>
    <w:link w:val="19"/>
    <w:qFormat/>
    <w:uiPriority w:val="99"/>
    <w:rPr>
      <w:sz w:val="20"/>
    </w:rPr>
  </w:style>
  <w:style w:type="character" w:customStyle="1" w:styleId="58">
    <w:name w:val="标题 1 字符"/>
    <w:link w:val="2"/>
    <w:qFormat/>
    <w:uiPriority w:val="0"/>
    <w:rPr>
      <w:rFonts w:ascii="Times New Roman" w:hAnsi="Times New Roman" w:eastAsia="宋体" w:cs="Times New Roman"/>
      <w:b/>
      <w:bCs/>
      <w:sz w:val="44"/>
      <w:szCs w:val="44"/>
    </w:rPr>
  </w:style>
  <w:style w:type="character" w:customStyle="1" w:styleId="59">
    <w:name w:val="标题 2 字符"/>
    <w:link w:val="3"/>
    <w:uiPriority w:val="0"/>
    <w:rPr>
      <w:rFonts w:ascii="Arial" w:hAnsi="Arial" w:eastAsia="黑体" w:cs="Times New Roman"/>
      <w:b/>
      <w:bCs/>
      <w:sz w:val="32"/>
      <w:szCs w:val="32"/>
    </w:rPr>
  </w:style>
  <w:style w:type="character" w:customStyle="1" w:styleId="60">
    <w:name w:val="批注文字 字符"/>
    <w:link w:val="13"/>
    <w:qFormat/>
    <w:uiPriority w:val="0"/>
    <w:rPr>
      <w:rFonts w:ascii="Times New Roman" w:hAnsi="Times New Roman" w:eastAsia="宋体" w:cs="Times New Roman"/>
      <w:szCs w:val="24"/>
    </w:rPr>
  </w:style>
  <w:style w:type="character" w:customStyle="1" w:styleId="61">
    <w:name w:val="正文文本 字符"/>
    <w:link w:val="14"/>
    <w:qFormat/>
    <w:uiPriority w:val="0"/>
    <w:rPr>
      <w:rFonts w:ascii="Times New Roman" w:hAnsi="Times New Roman" w:eastAsia="宋体" w:cs="Times New Roman"/>
      <w:sz w:val="24"/>
      <w:szCs w:val="24"/>
    </w:rPr>
  </w:style>
  <w:style w:type="character" w:customStyle="1" w:styleId="62">
    <w:name w:val="批注框文本 字符"/>
    <w:link w:val="20"/>
    <w:uiPriority w:val="0"/>
    <w:rPr>
      <w:rFonts w:ascii="Times New Roman" w:hAnsi="Times New Roman" w:eastAsia="宋体" w:cs="Times New Roman"/>
      <w:sz w:val="18"/>
      <w:szCs w:val="18"/>
    </w:rPr>
  </w:style>
  <w:style w:type="character" w:customStyle="1" w:styleId="63">
    <w:name w:val="页眉 字符"/>
    <w:link w:val="22"/>
    <w:qFormat/>
    <w:uiPriority w:val="0"/>
    <w:rPr>
      <w:rFonts w:ascii="Times New Roman" w:hAnsi="Times New Roman" w:eastAsia="宋体" w:cs="Times New Roman"/>
      <w:sz w:val="18"/>
      <w:szCs w:val="18"/>
    </w:rPr>
  </w:style>
  <w:style w:type="character" w:customStyle="1" w:styleId="64">
    <w:name w:val="批注主题 字符"/>
    <w:link w:val="32"/>
    <w:qFormat/>
    <w:uiPriority w:val="0"/>
    <w:rPr>
      <w:rFonts w:ascii="Times New Roman" w:hAnsi="Times New Roman" w:eastAsia="宋体" w:cs="Times New Roman"/>
      <w:b/>
      <w:bCs/>
      <w:sz w:val="21"/>
      <w:szCs w:val="24"/>
    </w:rPr>
  </w:style>
  <w:style w:type="character" w:customStyle="1" w:styleId="65">
    <w:name w:val="read"/>
    <w:uiPriority w:val="0"/>
  </w:style>
  <w:style w:type="character" w:customStyle="1" w:styleId="66">
    <w:name w:val="正文文本缩进 Char"/>
    <w:link w:val="67"/>
    <w:qFormat/>
    <w:uiPriority w:val="0"/>
    <w:rPr>
      <w:rFonts w:ascii="宋体" w:hAnsi="Times New Roman" w:eastAsia="宋体" w:cs="Times New Roman"/>
      <w:sz w:val="24"/>
      <w:szCs w:val="20"/>
    </w:rPr>
  </w:style>
  <w:style w:type="paragraph" w:customStyle="1" w:styleId="67">
    <w:name w:val="正文文本缩进1"/>
    <w:basedOn w:val="1"/>
    <w:link w:val="66"/>
    <w:qFormat/>
    <w:uiPriority w:val="0"/>
    <w:pPr>
      <w:autoSpaceDE w:val="0"/>
      <w:autoSpaceDN w:val="0"/>
      <w:spacing w:after="120" w:line="440" w:lineRule="atLeast"/>
      <w:ind w:firstLine="539"/>
    </w:pPr>
    <w:rPr>
      <w:rFonts w:ascii="宋体"/>
      <w:sz w:val="24"/>
      <w:szCs w:val="20"/>
    </w:rPr>
  </w:style>
  <w:style w:type="paragraph" w:customStyle="1" w:styleId="68">
    <w:name w:val="正文缩进1"/>
    <w:basedOn w:val="1"/>
    <w:qFormat/>
    <w:uiPriority w:val="0"/>
    <w:pPr>
      <w:ind w:firstLine="42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48</Pages>
  <Words>0</Words>
  <Characters>0</Characters>
  <Lines>0</Lines>
  <Paragraphs>0</Paragraphs>
  <TotalTime>17</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2026-01-30T08:28:00Z</dcterms:created>
  <dc:creator>CMBCAdmin</dc:creator>
  <cp:lastModifiedBy>CMBC-L</cp:lastModifiedBy>
  <dcterms:modified xsi:type="dcterms:W3CDTF">2026-01-30T13:06:32Z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D0CFDF8C452B45839D356213C728773D</vt:lpwstr>
  </property>
  <property fmtid="{D5CDD505-2E9C-101B-9397-08002B2CF9AE}" pid="3" name="KSOProductBuildVer">
    <vt:lpwstr>2052-11.8.2.11718</vt:lpwstr>
  </property>
  <property fmtid="{D5CDD505-2E9C-101B-9397-08002B2CF9AE}" pid="4" name="_KSOProductBuildMID">
    <vt:lpwstr>75220894AD69F2EFB864215BA8D46674</vt:lpwstr>
  </property>
  <property fmtid="{D5CDD505-2E9C-101B-9397-08002B2CF9AE}" pid="5" name="_KSOProductBuildSID">
    <vt:lpwstr>EAE79CDC08AED26E15560FF0314B3126</vt:lpwstr>
  </property>
</Properties>
</file>